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4B0D" w14:textId="6F1491FC" w:rsidR="00642A89" w:rsidRPr="00E16C3B" w:rsidRDefault="004A6855" w:rsidP="00E16C3B">
      <w:pPr>
        <w:jc w:val="center"/>
        <w:rPr>
          <w:b/>
          <w:bCs/>
          <w:smallCaps/>
          <w:sz w:val="28"/>
          <w:szCs w:val="28"/>
        </w:rPr>
      </w:pPr>
      <w:r>
        <w:rPr>
          <w:b/>
          <w:bCs/>
          <w:smallCaps/>
          <w:noProof/>
          <w:sz w:val="28"/>
          <w:szCs w:val="28"/>
        </w:rPr>
        <w:drawing>
          <wp:anchor distT="0" distB="0" distL="114300" distR="114300" simplePos="0" relativeHeight="251659264" behindDoc="0" locked="0" layoutInCell="1" allowOverlap="1" wp14:anchorId="1F490DD0" wp14:editId="3DAFFC1A">
            <wp:simplePos x="0" y="0"/>
            <wp:positionH relativeFrom="margin">
              <wp:align>left</wp:align>
            </wp:positionH>
            <wp:positionV relativeFrom="topMargin">
              <wp:align>bottom</wp:align>
            </wp:positionV>
            <wp:extent cx="1490472" cy="585216"/>
            <wp:effectExtent l="0" t="0" r="0" b="0"/>
            <wp:wrapTopAndBottom/>
            <wp:docPr id="1249853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mallCaps/>
          <w:noProof/>
          <w:sz w:val="28"/>
          <w:szCs w:val="28"/>
        </w:rPr>
        <w:drawing>
          <wp:anchor distT="0" distB="0" distL="114300" distR="114300" simplePos="0" relativeHeight="251658240" behindDoc="0" locked="0" layoutInCell="1" allowOverlap="1" wp14:anchorId="570D3402" wp14:editId="23528536">
            <wp:simplePos x="0" y="0"/>
            <wp:positionH relativeFrom="margin">
              <wp:align>right</wp:align>
            </wp:positionH>
            <wp:positionV relativeFrom="page">
              <wp:align>top</wp:align>
            </wp:positionV>
            <wp:extent cx="1490472" cy="1069848"/>
            <wp:effectExtent l="0" t="0" r="0" b="0"/>
            <wp:wrapTopAndBottom/>
            <wp:docPr id="338794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5D2" w:rsidRPr="00E16C3B">
        <w:rPr>
          <w:b/>
          <w:bCs/>
          <w:smallCaps/>
          <w:sz w:val="28"/>
          <w:szCs w:val="28"/>
        </w:rPr>
        <w:t>Planning for SRS Implementation</w:t>
      </w:r>
      <w:r w:rsidR="00E16C3B" w:rsidRPr="00E16C3B">
        <w:rPr>
          <w:b/>
          <w:bCs/>
          <w:smallCaps/>
          <w:sz w:val="28"/>
          <w:szCs w:val="28"/>
        </w:rPr>
        <w:t xml:space="preserve">- </w:t>
      </w:r>
      <w:r w:rsidR="000205D2" w:rsidRPr="00E16C3B">
        <w:rPr>
          <w:b/>
          <w:bCs/>
          <w:smallCaps/>
          <w:sz w:val="28"/>
          <w:szCs w:val="28"/>
        </w:rPr>
        <w:t>Assessing Mortality Data Landscape</w:t>
      </w:r>
    </w:p>
    <w:p w14:paraId="5A21901A" w14:textId="22BD9CAB" w:rsidR="00371779" w:rsidRPr="00E16C3B" w:rsidRDefault="00D25E2C" w:rsidP="00AB34A4">
      <w:pPr>
        <w:jc w:val="center"/>
        <w:rPr>
          <w:b/>
          <w:bCs/>
          <w:smallCaps/>
          <w:sz w:val="24"/>
          <w:szCs w:val="24"/>
          <w:u w:val="single"/>
        </w:rPr>
      </w:pPr>
      <w:r w:rsidRPr="00E16C3B">
        <w:rPr>
          <w:b/>
          <w:bCs/>
          <w:smallCaps/>
          <w:sz w:val="24"/>
          <w:szCs w:val="24"/>
          <w:u w:val="single"/>
        </w:rPr>
        <w:t xml:space="preserve">Indicative </w:t>
      </w:r>
      <w:r w:rsidR="003E373A" w:rsidRPr="00E16C3B">
        <w:rPr>
          <w:b/>
          <w:bCs/>
          <w:smallCaps/>
          <w:sz w:val="24"/>
          <w:szCs w:val="24"/>
          <w:u w:val="single"/>
        </w:rPr>
        <w:t>Guidance</w:t>
      </w:r>
    </w:p>
    <w:p w14:paraId="53810B41" w14:textId="2C574153" w:rsidR="002677C3" w:rsidRPr="002677C3" w:rsidRDefault="15A10536" w:rsidP="15A10536">
      <w:pPr>
        <w:spacing w:after="0"/>
      </w:pPr>
      <w:r>
        <w:t>[</w:t>
      </w:r>
      <w:r w:rsidRPr="15A10536">
        <w:rPr>
          <w:i/>
          <w:iCs/>
        </w:rPr>
        <w:t>Note for the country team: Please expand the background section below to fit your specific country context. Provide specific contextual data on mortality and other populations and health information. Add any additional justifications for the assessment</w:t>
      </w:r>
      <w:r>
        <w:t>.]</w:t>
      </w:r>
    </w:p>
    <w:p w14:paraId="243558DF" w14:textId="77777777" w:rsidR="002677C3" w:rsidRDefault="002677C3">
      <w:pPr>
        <w:rPr>
          <w:b/>
          <w:bCs/>
        </w:rPr>
      </w:pPr>
    </w:p>
    <w:p w14:paraId="70C629EA" w14:textId="32F1BBB9" w:rsidR="00970D1E" w:rsidRPr="00FF2215" w:rsidRDefault="00B33100">
      <w:pPr>
        <w:rPr>
          <w:b/>
          <w:bCs/>
          <w:smallCaps/>
          <w:sz w:val="24"/>
          <w:szCs w:val="24"/>
        </w:rPr>
      </w:pPr>
      <w:r w:rsidRPr="00FF2215">
        <w:rPr>
          <w:b/>
          <w:bCs/>
          <w:smallCaps/>
          <w:sz w:val="24"/>
          <w:szCs w:val="24"/>
        </w:rPr>
        <w:t>R</w:t>
      </w:r>
      <w:r w:rsidR="00E555FC" w:rsidRPr="00FF2215">
        <w:rPr>
          <w:b/>
          <w:bCs/>
          <w:smallCaps/>
          <w:sz w:val="24"/>
          <w:szCs w:val="24"/>
        </w:rPr>
        <w:t>ationale for</w:t>
      </w:r>
      <w:r w:rsidRPr="00FF2215">
        <w:rPr>
          <w:b/>
          <w:bCs/>
          <w:smallCaps/>
          <w:sz w:val="24"/>
          <w:szCs w:val="24"/>
        </w:rPr>
        <w:t xml:space="preserve"> completing a</w:t>
      </w:r>
      <w:r w:rsidR="00E555FC" w:rsidRPr="00FF2215">
        <w:rPr>
          <w:b/>
          <w:bCs/>
          <w:smallCaps/>
          <w:sz w:val="24"/>
          <w:szCs w:val="24"/>
        </w:rPr>
        <w:t xml:space="preserve"> mortality </w:t>
      </w:r>
      <w:r w:rsidRPr="00FF2215">
        <w:rPr>
          <w:b/>
          <w:bCs/>
          <w:smallCaps/>
          <w:sz w:val="24"/>
          <w:szCs w:val="24"/>
        </w:rPr>
        <w:t xml:space="preserve">systems </w:t>
      </w:r>
      <w:r w:rsidR="00E555FC" w:rsidRPr="00FF2215">
        <w:rPr>
          <w:b/>
          <w:bCs/>
          <w:smallCaps/>
          <w:sz w:val="24"/>
          <w:szCs w:val="24"/>
        </w:rPr>
        <w:t>assessment</w:t>
      </w:r>
      <w:r w:rsidR="00FF2215">
        <w:rPr>
          <w:b/>
          <w:bCs/>
          <w:smallCaps/>
          <w:sz w:val="24"/>
          <w:szCs w:val="24"/>
        </w:rPr>
        <w:t>:</w:t>
      </w:r>
    </w:p>
    <w:p w14:paraId="3E22FFBD" w14:textId="06B4E2FF" w:rsidR="00964BA9" w:rsidRDefault="1CFB2D60">
      <w:r>
        <w:t>[</w:t>
      </w:r>
      <w:r w:rsidRPr="00AB34A4">
        <w:rPr>
          <w:i/>
          <w:iCs/>
        </w:rPr>
        <w:t>Country</w:t>
      </w:r>
      <w:r>
        <w:t xml:space="preserve">] lacks any nationally representative data on all-cause, all-age </w:t>
      </w:r>
      <w:r w:rsidR="00AB34A4">
        <w:t>mortality to</w:t>
      </w:r>
      <w:r>
        <w:t xml:space="preserve"> accurately understand the current public health situation and be able to assess the effectiveness of health programs and policies deployed, formulate evidence-based programs and policies, and appropriately allocate resources to different health sectors and geographically.</w:t>
      </w:r>
    </w:p>
    <w:p w14:paraId="4DFA1A61" w14:textId="39A9B621" w:rsidR="00964BA9" w:rsidRDefault="1CFB2D60">
      <w:r>
        <w:t>Main data sources such as CRVS, health information system, and other surveillances systems such as the maternal and perinatal death surveillance and response are inadequate for producing needed vital statistics that are nationally representative and have high coverage levels.</w:t>
      </w:r>
    </w:p>
    <w:p w14:paraId="66B77DEB" w14:textId="53E78155" w:rsidR="00964BA9" w:rsidRDefault="1CFB2D60">
      <w:r>
        <w:t>[</w:t>
      </w:r>
      <w:r w:rsidRPr="00AB34A4">
        <w:rPr>
          <w:i/>
          <w:iCs/>
        </w:rPr>
        <w:t>Country</w:t>
      </w:r>
      <w:r>
        <w:t>] relies on infrequent household surveys for mortality data and modelled data rely mainly on external data and are externally produced by the UN for monitoring the Sustainable Development Goals (SDG) for health.  In addition, mortality data from household surveys are usually limited to a narrow age group (e.g. children under five years) or to a specific event (e.g, maternal death) and do not provide information about the cause of death; thus, surveys do not currently provide a picture of what is happening across age groups or what the causes of death are that could be targeted.</w:t>
      </w:r>
    </w:p>
    <w:p w14:paraId="142A3048" w14:textId="59102B18" w:rsidR="00964BA9" w:rsidRDefault="00964BA9">
      <w:r>
        <w:t xml:space="preserve">The government has recognized the need for more regular mortality data </w:t>
      </w:r>
      <w:r w:rsidR="26A41988">
        <w:t xml:space="preserve">that includes information about causes, ages, and sex, both nationally and by region, </w:t>
      </w:r>
      <w:r w:rsidR="006203BD">
        <w:t>and is taking steps to establish an integrated mortality surveillance system</w:t>
      </w:r>
      <w:r w:rsidR="00524EA7">
        <w:t>.</w:t>
      </w:r>
      <w:r w:rsidR="00524EA7">
        <w:rPr>
          <w:rStyle w:val="FootnoteReference"/>
        </w:rPr>
        <w:footnoteReference w:id="2"/>
      </w:r>
    </w:p>
    <w:p w14:paraId="5F23DB6D" w14:textId="2C818119" w:rsidR="006203BD" w:rsidRDefault="1109F071">
      <w:r>
        <w:t xml:space="preserve">As part of this initiative, the government is initiating the development of a national sample registration system (SRS) to produce frequent and timely mortality statistics at national and subnational levels. Like national surveys, the SRS will rely on a sample of population within geographic clusters nationwide, but selected to produce representative estimates of mortality rates and </w:t>
      </w:r>
      <w:r w:rsidR="00955158">
        <w:t>causes nationally</w:t>
      </w:r>
      <w:r>
        <w:t xml:space="preserve"> and sub nationally by age and sex. It will also provide information much more frequently, allowing better tracking of progress and facilitating faster and more targeted responses to disease outbreaks or population crises.</w:t>
      </w:r>
    </w:p>
    <w:p w14:paraId="2A9F294F" w14:textId="3F3854D3" w:rsidR="006203BD" w:rsidRPr="00964BA9" w:rsidRDefault="006203BD">
      <w:r>
        <w:t xml:space="preserve">The </w:t>
      </w:r>
      <w:r w:rsidR="00262545">
        <w:t>Bill and Melinda Gates Foundation (</w:t>
      </w:r>
      <w:r>
        <w:t>BMGF</w:t>
      </w:r>
      <w:r w:rsidR="00262545">
        <w:t>)</w:t>
      </w:r>
      <w:r>
        <w:t xml:space="preserve"> is providing financial support for planning activities for the development of a sound and costed protocol for </w:t>
      </w:r>
      <w:r w:rsidR="003E373A">
        <w:t>an</w:t>
      </w:r>
      <w:r>
        <w:t xml:space="preserve"> SRS</w:t>
      </w:r>
      <w:r w:rsidR="007C188B">
        <w:t xml:space="preserve"> that builds on and integrates with existing </w:t>
      </w:r>
      <w:r w:rsidR="007B00CC">
        <w:t>systems and processes</w:t>
      </w:r>
      <w:r>
        <w:t xml:space="preserve">. As part of this planning, a comprehensive assessment of the </w:t>
      </w:r>
      <w:r>
        <w:lastRenderedPageBreak/>
        <w:t xml:space="preserve">mortality and cause of death data landscape will be conducted. This protocol describes activities </w:t>
      </w:r>
      <w:r w:rsidR="00E84611">
        <w:t xml:space="preserve">to conduct </w:t>
      </w:r>
      <w:r>
        <w:t>for this</w:t>
      </w:r>
      <w:r w:rsidR="00B6559C">
        <w:t xml:space="preserve"> mortality</w:t>
      </w:r>
      <w:r>
        <w:t xml:space="preserve"> assessment</w:t>
      </w:r>
      <w:r w:rsidR="00B6559C">
        <w:t>.</w:t>
      </w:r>
    </w:p>
    <w:p w14:paraId="2B1410B7" w14:textId="2AB9BF6E" w:rsidR="006203BD" w:rsidRPr="00FF2215" w:rsidRDefault="000205D2">
      <w:pPr>
        <w:rPr>
          <w:smallCaps/>
          <w:sz w:val="24"/>
          <w:szCs w:val="24"/>
        </w:rPr>
      </w:pPr>
      <w:r w:rsidRPr="00FF2215">
        <w:rPr>
          <w:b/>
          <w:bCs/>
          <w:smallCaps/>
          <w:sz w:val="24"/>
          <w:szCs w:val="24"/>
        </w:rPr>
        <w:t>Objective</w:t>
      </w:r>
      <w:r w:rsidR="00B6559C" w:rsidRPr="00FF2215">
        <w:rPr>
          <w:b/>
          <w:bCs/>
          <w:smallCaps/>
          <w:sz w:val="24"/>
          <w:szCs w:val="24"/>
        </w:rPr>
        <w:t>s</w:t>
      </w:r>
      <w:r w:rsidR="00FF2215">
        <w:rPr>
          <w:smallCaps/>
          <w:sz w:val="24"/>
          <w:szCs w:val="24"/>
        </w:rPr>
        <w:t>:</w:t>
      </w:r>
    </w:p>
    <w:p w14:paraId="6E215C5C" w14:textId="0D68735A" w:rsidR="000205D2" w:rsidRDefault="0092611F">
      <w:r>
        <w:t>The assessment seeks to u</w:t>
      </w:r>
      <w:r w:rsidR="000205D2">
        <w:t xml:space="preserve">nderstand existing systems and platforms of mortality data collection and use, their functioning, interoperation, </w:t>
      </w:r>
      <w:r>
        <w:t xml:space="preserve">stakeholders, </w:t>
      </w:r>
      <w:r w:rsidR="000205D2">
        <w:t xml:space="preserve">and how they can contribute to </w:t>
      </w:r>
      <w:r>
        <w:t xml:space="preserve">the development and sustainability of </w:t>
      </w:r>
      <w:r w:rsidR="000205D2">
        <w:t xml:space="preserve">a sample registration system for mortality and cause of death in the country. </w:t>
      </w:r>
    </w:p>
    <w:p w14:paraId="58E5B212" w14:textId="00C807E6" w:rsidR="000205D2" w:rsidRDefault="000205D2">
      <w:r>
        <w:t xml:space="preserve">More specifically, the assessment </w:t>
      </w:r>
      <w:r w:rsidR="0092611F">
        <w:t>w</w:t>
      </w:r>
      <w:r>
        <w:t>ould:</w:t>
      </w:r>
    </w:p>
    <w:p w14:paraId="14384CC6" w14:textId="3A38A1A6" w:rsidR="00371779" w:rsidRDefault="5D892BD1" w:rsidP="000205D2">
      <w:pPr>
        <w:pStyle w:val="ListParagraph"/>
        <w:numPr>
          <w:ilvl w:val="0"/>
          <w:numId w:val="3"/>
        </w:numPr>
      </w:pPr>
      <w:r>
        <w:t>Identify and describe the main stakeholders of mortality data in terms of causes and age groups of focus, data producers, managers, users, and funders, their institutional policy and legal mandate, and geographical coverage.</w:t>
      </w:r>
    </w:p>
    <w:p w14:paraId="31371F04" w14:textId="21BABED9" w:rsidR="000205D2" w:rsidRDefault="000205D2" w:rsidP="000205D2">
      <w:pPr>
        <w:pStyle w:val="ListParagraph"/>
        <w:numPr>
          <w:ilvl w:val="0"/>
          <w:numId w:val="3"/>
        </w:numPr>
      </w:pPr>
      <w:r>
        <w:t>Map out and describe all national and subnational systems or platforms for mortality data collection, compilation</w:t>
      </w:r>
      <w:r w:rsidR="007A4FC8">
        <w:t>, and different actors.</w:t>
      </w:r>
    </w:p>
    <w:p w14:paraId="17B4D4DA" w14:textId="299E301A" w:rsidR="000205D2" w:rsidRDefault="5D892BD1" w:rsidP="000205D2">
      <w:pPr>
        <w:pStyle w:val="ListParagraph"/>
        <w:numPr>
          <w:ilvl w:val="0"/>
          <w:numId w:val="3"/>
        </w:numPr>
      </w:pPr>
      <w:r>
        <w:t>Describe the current levels of functioning of these platforms in terms of geographic coverage and representativeness, type of data collected (individual, aggregate, by age and sex), data quality, and mortality indicators derived, if any, and their reference period.  In addition, provide the intended ‘optimal’ level and time goal to reach this level.</w:t>
      </w:r>
    </w:p>
    <w:p w14:paraId="18187B0C" w14:textId="7F426B47" w:rsidR="00371779" w:rsidRPr="00B96541" w:rsidRDefault="2DDC4E19" w:rsidP="000205D2">
      <w:pPr>
        <w:pStyle w:val="ListParagraph"/>
        <w:numPr>
          <w:ilvl w:val="0"/>
          <w:numId w:val="3"/>
        </w:numPr>
      </w:pPr>
      <w:r>
        <w:t>Identify and describe the country’s experience with the use of digital solutions for mortality data collection and opportunities for real time data collection, analysis and reporting.</w:t>
      </w:r>
    </w:p>
    <w:p w14:paraId="0478E7EA" w14:textId="34A82445" w:rsidR="000205D2" w:rsidRPr="00B96541" w:rsidRDefault="2DDC4E19" w:rsidP="000205D2">
      <w:pPr>
        <w:pStyle w:val="ListParagraph"/>
        <w:numPr>
          <w:ilvl w:val="0"/>
          <w:numId w:val="3"/>
        </w:numPr>
      </w:pPr>
      <w:r>
        <w:t>Understand linkages and how data are shared between the existing systems, and opportunities for synergy across the systems; d</w:t>
      </w:r>
      <w:r w:rsidRPr="2DDC4E19">
        <w:rPr>
          <w:rStyle w:val="cf01"/>
          <w:rFonts w:asciiTheme="minorHAnsi" w:hAnsiTheme="minorHAnsi"/>
          <w:sz w:val="22"/>
          <w:szCs w:val="22"/>
        </w:rPr>
        <w:t>escribe flow of information also between institutions</w:t>
      </w:r>
    </w:p>
    <w:p w14:paraId="7CA79F93" w14:textId="3BDBB062" w:rsidR="00970D1E" w:rsidRPr="00B96541" w:rsidRDefault="2DDC4E19" w:rsidP="000205D2">
      <w:pPr>
        <w:pStyle w:val="ListParagraph"/>
        <w:numPr>
          <w:ilvl w:val="0"/>
          <w:numId w:val="3"/>
        </w:numPr>
      </w:pPr>
      <w:r w:rsidRPr="2DDC4E19">
        <w:rPr>
          <w:rStyle w:val="cf01"/>
          <w:rFonts w:asciiTheme="minorHAnsi" w:hAnsiTheme="minorHAnsi"/>
          <w:sz w:val="22"/>
          <w:szCs w:val="22"/>
        </w:rPr>
        <w:t>Identify (and include as an annex) the data capture forms and the data elements captured by the identified forms that each institution uses</w:t>
      </w:r>
    </w:p>
    <w:p w14:paraId="16A2AD7C" w14:textId="3AD2C443" w:rsidR="007A4FC8" w:rsidRDefault="2DDC4E19" w:rsidP="000205D2">
      <w:pPr>
        <w:pStyle w:val="ListParagraph"/>
        <w:numPr>
          <w:ilvl w:val="0"/>
          <w:numId w:val="3"/>
        </w:numPr>
      </w:pPr>
      <w:r>
        <w:t xml:space="preserve">Summarize recommendations for how the current mortality surveillance system can be improved and how a functioning SRS specifically can contribute to these improvements, with consideration for the county’s existing mortality data landscape. </w:t>
      </w:r>
    </w:p>
    <w:p w14:paraId="703E6CB5" w14:textId="5332777D" w:rsidR="007A4FC8" w:rsidRDefault="2DDC4E19" w:rsidP="000205D2">
      <w:pPr>
        <w:pStyle w:val="ListParagraph"/>
        <w:numPr>
          <w:ilvl w:val="0"/>
          <w:numId w:val="3"/>
        </w:numPr>
      </w:pPr>
      <w:r>
        <w:t xml:space="preserve">An indicative outline of the final assessment report is included in the reporting section below. </w:t>
      </w:r>
    </w:p>
    <w:p w14:paraId="5926C5BF" w14:textId="6ACD00B7" w:rsidR="00A25833" w:rsidRPr="00FF2215" w:rsidRDefault="00A25833" w:rsidP="0084665E">
      <w:pPr>
        <w:rPr>
          <w:b/>
          <w:bCs/>
          <w:smallCaps/>
          <w:sz w:val="24"/>
          <w:szCs w:val="24"/>
        </w:rPr>
      </w:pPr>
      <w:r w:rsidRPr="00FF2215">
        <w:rPr>
          <w:b/>
          <w:bCs/>
          <w:smallCaps/>
          <w:sz w:val="24"/>
          <w:szCs w:val="24"/>
        </w:rPr>
        <w:t>Implementation team</w:t>
      </w:r>
      <w:r w:rsidR="00FF2215">
        <w:rPr>
          <w:b/>
          <w:bCs/>
          <w:smallCaps/>
          <w:sz w:val="24"/>
          <w:szCs w:val="24"/>
        </w:rPr>
        <w:t>:</w:t>
      </w:r>
    </w:p>
    <w:p w14:paraId="1441BC82" w14:textId="17904C12" w:rsidR="15A10536" w:rsidRDefault="15A10536">
      <w:r>
        <w:t>The findings of the assessment will be used to design an SRS for the country.  It is essential that, from inception, key actors are identified and engaged in the assessment. These would include representatives from the Ministry of Health (monitoring and evaluation, planning, public health, and community health departments), other relevant ministries (e.g. Ministry in charge of CRVS, Community Structures, etc.), technical internal and external public health institutions (e.g., National Institute of Public Health, National Institute of Statistics), Universities, bilaterial and multilateral agencies, etc. Consider establishing a</w:t>
      </w:r>
      <w:r w:rsidR="00955158">
        <w:t xml:space="preserve"> </w:t>
      </w:r>
      <w:r>
        <w:t xml:space="preserve">technical advisory committee (if not already available) to support the initiative, with endorsement at the relevant high levels of leadership of the government. Representatives from the institutions in this committee should be engaged in sites visits, formative activities, and results discussions and sharing. </w:t>
      </w:r>
      <w:r>
        <w:br w:type="page"/>
      </w:r>
    </w:p>
    <w:p w14:paraId="51CCEACA" w14:textId="2D269F0A" w:rsidR="00371779" w:rsidRPr="00FF2215" w:rsidRDefault="0084665E" w:rsidP="0084665E">
      <w:pPr>
        <w:rPr>
          <w:smallCaps/>
          <w:sz w:val="24"/>
          <w:szCs w:val="24"/>
        </w:rPr>
      </w:pPr>
      <w:r w:rsidRPr="00FF2215">
        <w:rPr>
          <w:b/>
          <w:bCs/>
          <w:smallCaps/>
          <w:sz w:val="24"/>
          <w:szCs w:val="24"/>
        </w:rPr>
        <w:lastRenderedPageBreak/>
        <w:t>Method</w:t>
      </w:r>
      <w:r w:rsidR="00371779" w:rsidRPr="00FF2215">
        <w:rPr>
          <w:b/>
          <w:bCs/>
          <w:smallCaps/>
          <w:sz w:val="24"/>
          <w:szCs w:val="24"/>
        </w:rPr>
        <w:t>s</w:t>
      </w:r>
      <w:r w:rsidR="00FF2215">
        <w:rPr>
          <w:smallCaps/>
          <w:sz w:val="24"/>
          <w:szCs w:val="24"/>
        </w:rPr>
        <w:t>:</w:t>
      </w:r>
    </w:p>
    <w:p w14:paraId="2526A447" w14:textId="077CF19E" w:rsidR="00E74663" w:rsidRDefault="297A06A2" w:rsidP="0084665E">
      <w:r>
        <w:t>Two complementary approaches should be planned: (a) an initial desk review that can help fine tune the objectives of the assessment as well as help determine (b) specific additional data collection activities, including which site visits to conduct.</w:t>
      </w:r>
    </w:p>
    <w:p w14:paraId="1DCEFA50" w14:textId="420E912F" w:rsidR="003A48F4" w:rsidRDefault="00067630" w:rsidP="0084665E">
      <w:r w:rsidRPr="00067630">
        <w:rPr>
          <w:b/>
          <w:bCs/>
          <w:i/>
          <w:iCs/>
        </w:rPr>
        <w:t>Desk review of existing mortality systems, reports, studies, and stakeholders</w:t>
      </w:r>
      <w:r>
        <w:t xml:space="preserve">: a compilation of published reports and scientific literature will help identify existing data systems, results produced, and main institutions related to mortality surveillance. These documents can be identified through searching websites of national institutions, publication databases (e.g. PubMed or local databases), and talking with relevant resource persons in the country. The desk review should be implemented by the primary institution leading the mortality assessment (e.g. the national public health institute). A short tool to help users develop an inventory of existing systems is included in the appendix. </w:t>
      </w:r>
    </w:p>
    <w:p w14:paraId="2062180B" w14:textId="2F92389E" w:rsidR="00D25E2C" w:rsidRDefault="00067630" w:rsidP="0084665E">
      <w:r>
        <w:t>The desk review will also seek to identify any existing technical committees or working groups working on mortality surveillance or using data from such systems.  Such committees can be easily identified by contacting relevant ministerial departments. Findings from the desk review will help to further fine tune the objectives of the assessment, design the efforts to collect additional data to be collected, and sites to visit.</w:t>
      </w:r>
    </w:p>
    <w:p w14:paraId="7933C715" w14:textId="241C3537" w:rsidR="0084665E" w:rsidRDefault="1159566E" w:rsidP="0084665E">
      <w:r w:rsidRPr="1159566E">
        <w:rPr>
          <w:b/>
          <w:bCs/>
          <w:i/>
          <w:iCs/>
        </w:rPr>
        <w:t>Primary data collection</w:t>
      </w:r>
      <w:r>
        <w:t>: A mixed methods approach with structured and semi-structured interviews with key informants (institutions involved in data collection e.g. HMIS, NSO; and key stakeholders such as traditional leaders, local health officials, community leaders, etc.) would be implemented. The interview questions will focus on how well the</w:t>
      </w:r>
      <w:r w:rsidR="00CE042D">
        <w:t xml:space="preserve"> </w:t>
      </w:r>
      <w:r>
        <w:t>systems identified through the desk review are functioning, what data elements these systems collect, their frequency, their geographic scope, the use of IT and digital solutions, how data are stored, accessed, used and disseminated.</w:t>
      </w:r>
    </w:p>
    <w:p w14:paraId="2A2E2057" w14:textId="11046473" w:rsidR="00D51717" w:rsidRPr="00FF2215" w:rsidRDefault="64077A87" w:rsidP="00FF41BE">
      <w:pPr>
        <w:rPr>
          <w:smallCaps/>
          <w:sz w:val="24"/>
          <w:szCs w:val="24"/>
        </w:rPr>
      </w:pPr>
      <w:r w:rsidRPr="00FF2215">
        <w:rPr>
          <w:b/>
          <w:bCs/>
          <w:smallCaps/>
          <w:sz w:val="24"/>
          <w:szCs w:val="24"/>
        </w:rPr>
        <w:t>Settings</w:t>
      </w:r>
      <w:r w:rsidR="00FF2215">
        <w:rPr>
          <w:smallCaps/>
          <w:sz w:val="24"/>
          <w:szCs w:val="24"/>
        </w:rPr>
        <w:t>:</w:t>
      </w:r>
    </w:p>
    <w:p w14:paraId="48AB9736" w14:textId="5B567C5F" w:rsidR="64077A87" w:rsidRDefault="15A10536" w:rsidP="00955158">
      <w:pPr>
        <w:spacing w:after="0"/>
        <w:rPr>
          <w:rFonts w:ascii="Aptos" w:eastAsia="Aptos" w:hAnsi="Aptos" w:cs="Aptos"/>
        </w:rPr>
      </w:pPr>
      <w:r w:rsidRPr="15A10536">
        <w:rPr>
          <w:rFonts w:ascii="Aptos" w:eastAsia="Aptos" w:hAnsi="Aptos" w:cs="Aptos"/>
        </w:rPr>
        <w:t>To establish a nationally representative Sample Registration System (SRS) for monitoring mortality rates and causes of death, the assessment should aim to comprehensively evaluate existing national and subnational data systems, including vital registration, health information systems, and demographic surveillance sites. Where appropriate, purposively select districts with active mortality data collection or robust surveillance infrastructure to identify best practices and gaps. Prioritize subnational areas that reflect diverse geographic, urban-rural, and mortality profiles to capture the country’s mortality data landscape. For instance, health and demographic surveillance sites can provide detailed cause-of-death data, while morgues may reveal unreported deaths or coding challenges. This approach ensures a thorough understanding of opportunities and barriers to effective mortality surveillance.</w:t>
      </w:r>
    </w:p>
    <w:p w14:paraId="6169F9B9" w14:textId="77777777" w:rsidR="00955158" w:rsidRDefault="00955158" w:rsidP="00955158">
      <w:pPr>
        <w:spacing w:after="0"/>
        <w:rPr>
          <w:b/>
          <w:bCs/>
          <w:smallCaps/>
        </w:rPr>
      </w:pPr>
    </w:p>
    <w:p w14:paraId="268A1F55" w14:textId="59B9520C" w:rsidR="003C567E" w:rsidRPr="00FF2215" w:rsidRDefault="5E263793" w:rsidP="00955158">
      <w:pPr>
        <w:spacing w:after="0"/>
        <w:rPr>
          <w:smallCaps/>
          <w:sz w:val="24"/>
          <w:szCs w:val="24"/>
        </w:rPr>
      </w:pPr>
      <w:r w:rsidRPr="00FF2215">
        <w:rPr>
          <w:b/>
          <w:bCs/>
          <w:smallCaps/>
          <w:sz w:val="24"/>
          <w:szCs w:val="24"/>
        </w:rPr>
        <w:t>Sites</w:t>
      </w:r>
      <w:r w:rsidR="00FF2215">
        <w:rPr>
          <w:smallCaps/>
          <w:sz w:val="24"/>
          <w:szCs w:val="24"/>
        </w:rPr>
        <w:t>:</w:t>
      </w:r>
    </w:p>
    <w:p w14:paraId="705E825A" w14:textId="0E6A86D4" w:rsidR="00AD4DFB" w:rsidRDefault="5E263793" w:rsidP="00955158">
      <w:pPr>
        <w:spacing w:before="240" w:after="0"/>
        <w:rPr>
          <w:rFonts w:ascii="Aptos" w:eastAsia="Aptos" w:hAnsi="Aptos" w:cs="Aptos"/>
        </w:rPr>
      </w:pPr>
      <w:r w:rsidRPr="5E263793">
        <w:rPr>
          <w:rFonts w:ascii="Aptos" w:eastAsia="Aptos" w:hAnsi="Aptos" w:cs="Aptos"/>
        </w:rPr>
        <w:t>Mortality data can be collected from various sites, categorized as follows:</w:t>
      </w:r>
    </w:p>
    <w:p w14:paraId="2FCFC2C2" w14:textId="721EF2EF" w:rsidR="00AD4DFB" w:rsidRDefault="5E263793" w:rsidP="00955158">
      <w:pPr>
        <w:pStyle w:val="ListParagraph"/>
        <w:numPr>
          <w:ilvl w:val="0"/>
          <w:numId w:val="2"/>
        </w:numPr>
        <w:spacing w:after="0"/>
        <w:rPr>
          <w:rFonts w:ascii="Aptos" w:eastAsia="Aptos" w:hAnsi="Aptos" w:cs="Aptos"/>
        </w:rPr>
      </w:pPr>
      <w:r w:rsidRPr="5E263793">
        <w:rPr>
          <w:rFonts w:ascii="Aptos" w:eastAsia="Aptos" w:hAnsi="Aptos" w:cs="Aptos"/>
          <w:b/>
          <w:bCs/>
        </w:rPr>
        <w:lastRenderedPageBreak/>
        <w:t>Health Facilities</w:t>
      </w:r>
      <w:r w:rsidRPr="5E263793">
        <w:rPr>
          <w:rFonts w:ascii="Aptos" w:eastAsia="Aptos" w:hAnsi="Aptos" w:cs="Aptos"/>
        </w:rPr>
        <w:t>: Data from District Health Information System-2 (DHIS-2), electronic medical record systems, and hospital information systems capture facility-based deaths and causes of death.</w:t>
      </w:r>
    </w:p>
    <w:p w14:paraId="72AA2990" w14:textId="664072CD" w:rsidR="00AD4DFB" w:rsidRDefault="5E263793" w:rsidP="00955158">
      <w:pPr>
        <w:pStyle w:val="ListParagraph"/>
        <w:numPr>
          <w:ilvl w:val="0"/>
          <w:numId w:val="2"/>
        </w:numPr>
        <w:spacing w:after="0"/>
        <w:rPr>
          <w:rFonts w:ascii="Aptos" w:eastAsia="Aptos" w:hAnsi="Aptos" w:cs="Aptos"/>
        </w:rPr>
      </w:pPr>
      <w:r w:rsidRPr="5E263793">
        <w:rPr>
          <w:rFonts w:ascii="Aptos" w:eastAsia="Aptos" w:hAnsi="Aptos" w:cs="Aptos"/>
          <w:b/>
          <w:bCs/>
        </w:rPr>
        <w:t>Community-Based Sources</w:t>
      </w:r>
      <w:r w:rsidRPr="5E263793">
        <w:rPr>
          <w:rFonts w:ascii="Aptos" w:eastAsia="Aptos" w:hAnsi="Aptos" w:cs="Aptos"/>
        </w:rPr>
        <w:t>: Community registers, burial sites, and health and demographic surveillance systems provide insights into deaths outside facilities, particularly in rural areas.</w:t>
      </w:r>
    </w:p>
    <w:p w14:paraId="0FA2D94E" w14:textId="583C3595" w:rsidR="00AD4DFB" w:rsidRDefault="5E263793" w:rsidP="00955158">
      <w:pPr>
        <w:pStyle w:val="ListParagraph"/>
        <w:numPr>
          <w:ilvl w:val="0"/>
          <w:numId w:val="2"/>
        </w:numPr>
        <w:spacing w:after="0"/>
        <w:rPr>
          <w:rFonts w:ascii="Aptos" w:eastAsia="Aptos" w:hAnsi="Aptos" w:cs="Aptos"/>
        </w:rPr>
      </w:pPr>
      <w:r w:rsidRPr="5E263793">
        <w:rPr>
          <w:rFonts w:ascii="Aptos" w:eastAsia="Aptos" w:hAnsi="Aptos" w:cs="Aptos"/>
          <w:b/>
          <w:bCs/>
        </w:rPr>
        <w:t>Administrative Systems</w:t>
      </w:r>
      <w:r w:rsidRPr="5E263793">
        <w:rPr>
          <w:rFonts w:ascii="Aptos" w:eastAsia="Aptos" w:hAnsi="Aptos" w:cs="Aptos"/>
        </w:rPr>
        <w:t>: Civil Registration and Vital Statistics (CRVS) systems, morgues, and national statistics offices record official mortality and cause-of-death data.</w:t>
      </w:r>
    </w:p>
    <w:p w14:paraId="2AAF9D60" w14:textId="68E990F7" w:rsidR="00AD4DFB" w:rsidRDefault="5E263793" w:rsidP="00955158">
      <w:pPr>
        <w:spacing w:before="240" w:after="240"/>
        <w:rPr>
          <w:rFonts w:ascii="Aptos" w:eastAsia="Aptos" w:hAnsi="Aptos" w:cs="Aptos"/>
        </w:rPr>
      </w:pPr>
      <w:r w:rsidRPr="5E263793">
        <w:rPr>
          <w:rFonts w:ascii="Aptos" w:eastAsia="Aptos" w:hAnsi="Aptos" w:cs="Aptos"/>
        </w:rPr>
        <w:t>Before initiating the assessment, map key stakeholders for each site, such as hospital administrators, local CRVS registrars, morgue staff, community health workers, and national statistics officers. Identify individuals to interview based on their role in data collection, management, or oversight to understand data quality, completeness, and operational challenges. Use a structured approach, such as stakeholder analysis matrices, to prioritize engagement.</w:t>
      </w:r>
    </w:p>
    <w:p w14:paraId="2B0E97CD" w14:textId="2E589E21" w:rsidR="00AD4DFB" w:rsidRDefault="5E263793" w:rsidP="00955158">
      <w:pPr>
        <w:spacing w:before="240" w:after="240"/>
        <w:rPr>
          <w:rFonts w:ascii="Aptos" w:eastAsia="Aptos" w:hAnsi="Aptos" w:cs="Aptos"/>
        </w:rPr>
      </w:pPr>
      <w:r w:rsidRPr="5E263793">
        <w:rPr>
          <w:rFonts w:ascii="Aptos" w:eastAsia="Aptos" w:hAnsi="Aptos" w:cs="Aptos"/>
        </w:rPr>
        <w:t xml:space="preserve">To support </w:t>
      </w:r>
      <w:r w:rsidR="00955158" w:rsidRPr="5E263793">
        <w:rPr>
          <w:rFonts w:ascii="Aptos" w:eastAsia="Aptos" w:hAnsi="Aptos" w:cs="Aptos"/>
        </w:rPr>
        <w:t>the development</w:t>
      </w:r>
      <w:r w:rsidRPr="5E263793">
        <w:rPr>
          <w:rFonts w:ascii="Aptos" w:eastAsia="Aptos" w:hAnsi="Aptos" w:cs="Aptos"/>
        </w:rPr>
        <w:t xml:space="preserve"> of a future nationally representative system, assess differences across contexts:</w:t>
      </w:r>
    </w:p>
    <w:p w14:paraId="5AF9EA3D" w14:textId="22883C91" w:rsidR="00AD4DFB" w:rsidRDefault="5E263793" w:rsidP="00955158">
      <w:pPr>
        <w:pStyle w:val="ListParagraph"/>
        <w:numPr>
          <w:ilvl w:val="0"/>
          <w:numId w:val="1"/>
        </w:numPr>
        <w:spacing w:after="0"/>
        <w:rPr>
          <w:rFonts w:ascii="Aptos" w:eastAsia="Aptos" w:hAnsi="Aptos" w:cs="Aptos"/>
        </w:rPr>
      </w:pPr>
      <w:r w:rsidRPr="5E263793">
        <w:rPr>
          <w:rFonts w:ascii="Aptos" w:eastAsia="Aptos" w:hAnsi="Aptos" w:cs="Aptos"/>
          <w:b/>
          <w:bCs/>
        </w:rPr>
        <w:t>Rural vs. Urban</w:t>
      </w:r>
      <w:r w:rsidRPr="5E263793">
        <w:rPr>
          <w:rFonts w:ascii="Aptos" w:eastAsia="Aptos" w:hAnsi="Aptos" w:cs="Aptos"/>
        </w:rPr>
        <w:t>: Rural areas may rely on community-based reporting with limited CRVS coverage, while urban hospitals may over-represent facility deaths.</w:t>
      </w:r>
    </w:p>
    <w:p w14:paraId="51BD0D7A" w14:textId="62C4364E" w:rsidR="00AD4DFB" w:rsidRDefault="5E263793" w:rsidP="00955158">
      <w:pPr>
        <w:pStyle w:val="ListParagraph"/>
        <w:numPr>
          <w:ilvl w:val="0"/>
          <w:numId w:val="1"/>
        </w:numPr>
        <w:spacing w:after="0"/>
        <w:rPr>
          <w:rFonts w:ascii="Aptos" w:eastAsia="Aptos" w:hAnsi="Aptos" w:cs="Aptos"/>
        </w:rPr>
      </w:pPr>
      <w:r w:rsidRPr="5E263793">
        <w:rPr>
          <w:rFonts w:ascii="Aptos" w:eastAsia="Aptos" w:hAnsi="Aptos" w:cs="Aptos"/>
          <w:b/>
          <w:bCs/>
        </w:rPr>
        <w:t>Facility vs. Community</w:t>
      </w:r>
      <w:r w:rsidRPr="5E263793">
        <w:rPr>
          <w:rFonts w:ascii="Aptos" w:eastAsia="Aptos" w:hAnsi="Aptos" w:cs="Aptos"/>
        </w:rPr>
        <w:t>: Facility data may miss community deaths, particularly in areas with low healthcare access.</w:t>
      </w:r>
    </w:p>
    <w:p w14:paraId="0AEE8843" w14:textId="6F70F148" w:rsidR="00AD4DFB" w:rsidRDefault="5E263793" w:rsidP="00955158">
      <w:pPr>
        <w:pStyle w:val="ListParagraph"/>
        <w:numPr>
          <w:ilvl w:val="0"/>
          <w:numId w:val="1"/>
        </w:numPr>
        <w:spacing w:after="0"/>
        <w:rPr>
          <w:rFonts w:ascii="Aptos" w:eastAsia="Aptos" w:hAnsi="Aptos" w:cs="Aptos"/>
        </w:rPr>
      </w:pPr>
      <w:r w:rsidRPr="5E263793">
        <w:rPr>
          <w:rFonts w:ascii="Aptos" w:eastAsia="Aptos" w:hAnsi="Aptos" w:cs="Aptos"/>
          <w:b/>
          <w:bCs/>
        </w:rPr>
        <w:t>Socioeconomic and Cultural Factors</w:t>
      </w:r>
      <w:r w:rsidRPr="5E263793">
        <w:rPr>
          <w:rFonts w:ascii="Aptos" w:eastAsia="Aptos" w:hAnsi="Aptos" w:cs="Aptos"/>
        </w:rPr>
        <w:t>: Include sites reflecting income disparities, ethnic diversity, or conflict-affected regions to capture variations in mortality patterns.</w:t>
      </w:r>
    </w:p>
    <w:p w14:paraId="0C3E36AE" w14:textId="783F9B90" w:rsidR="00AD4DFB" w:rsidRDefault="5E263793" w:rsidP="00955158">
      <w:pPr>
        <w:pStyle w:val="ListParagraph"/>
        <w:numPr>
          <w:ilvl w:val="0"/>
          <w:numId w:val="1"/>
        </w:numPr>
        <w:spacing w:after="0"/>
        <w:rPr>
          <w:rFonts w:ascii="Aptos" w:eastAsia="Aptos" w:hAnsi="Aptos" w:cs="Aptos"/>
        </w:rPr>
      </w:pPr>
      <w:r w:rsidRPr="5E263793">
        <w:rPr>
          <w:rFonts w:ascii="Aptos" w:eastAsia="Aptos" w:hAnsi="Aptos" w:cs="Aptos"/>
          <w:b/>
          <w:bCs/>
        </w:rPr>
        <w:t>System Coverage Gaps</w:t>
      </w:r>
      <w:r w:rsidRPr="5E263793">
        <w:rPr>
          <w:rFonts w:ascii="Aptos" w:eastAsia="Aptos" w:hAnsi="Aptos" w:cs="Aptos"/>
        </w:rPr>
        <w:t>: Prioritize areas where CRVS or other national systems are not fully implemented to identify barriers to data collection.</w:t>
      </w:r>
    </w:p>
    <w:p w14:paraId="28D2A43C" w14:textId="18B72F6F" w:rsidR="00AD4DFB" w:rsidRPr="00955158" w:rsidRDefault="5E263793" w:rsidP="00955158">
      <w:pPr>
        <w:spacing w:before="240" w:after="240"/>
        <w:rPr>
          <w:rFonts w:ascii="Aptos" w:eastAsia="Aptos" w:hAnsi="Aptos" w:cs="Aptos"/>
        </w:rPr>
      </w:pPr>
      <w:r w:rsidRPr="5E263793">
        <w:rPr>
          <w:rFonts w:ascii="Aptos" w:eastAsia="Aptos" w:hAnsi="Aptos" w:cs="Aptos"/>
        </w:rPr>
        <w:t>This approach ensures the assessment captures the diversity of mortality data sources and informs the design of a comprehensive surveillance system.</w:t>
      </w:r>
    </w:p>
    <w:p w14:paraId="6003B943" w14:textId="5F638FE0" w:rsidR="003C567E" w:rsidRPr="00FF2215" w:rsidRDefault="4A9D9DA6" w:rsidP="0084665E">
      <w:pPr>
        <w:rPr>
          <w:smallCaps/>
          <w:sz w:val="24"/>
          <w:szCs w:val="24"/>
        </w:rPr>
      </w:pPr>
      <w:r w:rsidRPr="00FF2215">
        <w:rPr>
          <w:b/>
          <w:bCs/>
          <w:smallCaps/>
          <w:sz w:val="24"/>
          <w:szCs w:val="24"/>
        </w:rPr>
        <w:t>Respondents</w:t>
      </w:r>
      <w:r w:rsidR="00FF2215">
        <w:rPr>
          <w:b/>
          <w:bCs/>
          <w:smallCaps/>
          <w:sz w:val="24"/>
          <w:szCs w:val="24"/>
        </w:rPr>
        <w:t>:</w:t>
      </w:r>
    </w:p>
    <w:p w14:paraId="4632CA32" w14:textId="1E6B47E1" w:rsidR="0053546D" w:rsidRDefault="003C567E" w:rsidP="0084665E">
      <w:r>
        <w:t>K</w:t>
      </w:r>
      <w:r w:rsidR="00001FB7">
        <w:t xml:space="preserve">ey informants at national, </w:t>
      </w:r>
      <w:r w:rsidR="00260617">
        <w:t>regional/</w:t>
      </w:r>
      <w:r w:rsidR="00001FB7">
        <w:t xml:space="preserve">provincial, and district levels. </w:t>
      </w:r>
    </w:p>
    <w:p w14:paraId="34888576" w14:textId="6F1AF4B2" w:rsidR="00D51717" w:rsidRDefault="4A9D9DA6" w:rsidP="4A9D9DA6">
      <w:pPr>
        <w:spacing w:after="0"/>
        <w:rPr>
          <w:rFonts w:ascii="Aptos" w:eastAsia="Aptos" w:hAnsi="Aptos" w:cs="Aptos"/>
        </w:rPr>
      </w:pPr>
      <w:r w:rsidRPr="4A9D9DA6">
        <w:rPr>
          <w:rFonts w:ascii="Aptos" w:eastAsia="Aptos" w:hAnsi="Aptos" w:cs="Aptos"/>
        </w:rPr>
        <w:t xml:space="preserve">To assess mortality data systems, purposively select respondents based on their roles in collecting, managing, or overseeing mortality data, planning, and monitoring at national and subnational levels. These individuals should provide insights into data quality, system operations, and barriers to effective surveillance. For example, target national-level respondents such as Ministry of Health officials, CRVS managers, or national statistics officers, and subnational respondents like district health managers, hospital data clerks, or local registrars. Prioritize those with decision-making authority, direct data access, or experience addressing gaps in cause-of-death reporting. Use stakeholder mapping from the site assessment to identify and contact respondents, ensuring representation from diverse geographic and administrative contexts. The table below suggests categories of respondents (e.g., health facility staff, CRVS personnel, policy makers) to guide standardized selection across sites. </w:t>
      </w:r>
      <w:r>
        <w:t xml:space="preserve">An example of list key informants interviewed during mortality data assessment in Zambia is included in the appendix. </w:t>
      </w:r>
    </w:p>
    <w:tbl>
      <w:tblPr>
        <w:tblStyle w:val="TableGrid"/>
        <w:tblW w:w="0" w:type="auto"/>
        <w:tblLook w:val="04A0" w:firstRow="1" w:lastRow="0" w:firstColumn="1" w:lastColumn="0" w:noHBand="0" w:noVBand="1"/>
      </w:tblPr>
      <w:tblGrid>
        <w:gridCol w:w="4675"/>
        <w:gridCol w:w="4675"/>
      </w:tblGrid>
      <w:tr w:rsidR="0053546D" w14:paraId="1CB5D459" w14:textId="77777777" w:rsidTr="0053546D">
        <w:tc>
          <w:tcPr>
            <w:tcW w:w="4675" w:type="dxa"/>
          </w:tcPr>
          <w:p w14:paraId="6D29A909" w14:textId="50BAA534" w:rsidR="0053546D" w:rsidRPr="007857B9" w:rsidRDefault="0053546D" w:rsidP="0084665E">
            <w:pPr>
              <w:rPr>
                <w:b/>
                <w:bCs/>
              </w:rPr>
            </w:pPr>
            <w:r w:rsidRPr="007857B9">
              <w:rPr>
                <w:b/>
                <w:bCs/>
              </w:rPr>
              <w:lastRenderedPageBreak/>
              <w:t>Sites/System</w:t>
            </w:r>
            <w:r w:rsidR="007857B9">
              <w:rPr>
                <w:b/>
                <w:bCs/>
              </w:rPr>
              <w:t>/entity</w:t>
            </w:r>
          </w:p>
        </w:tc>
        <w:tc>
          <w:tcPr>
            <w:tcW w:w="4675" w:type="dxa"/>
          </w:tcPr>
          <w:p w14:paraId="7246AF09" w14:textId="3E1ECC4F" w:rsidR="0053546D" w:rsidRPr="007857B9" w:rsidRDefault="0053546D" w:rsidP="0084665E">
            <w:pPr>
              <w:rPr>
                <w:b/>
                <w:bCs/>
              </w:rPr>
            </w:pPr>
            <w:r w:rsidRPr="007857B9">
              <w:rPr>
                <w:b/>
                <w:bCs/>
              </w:rPr>
              <w:t>Respondents</w:t>
            </w:r>
          </w:p>
        </w:tc>
      </w:tr>
      <w:tr w:rsidR="0053546D" w14:paraId="5C1DF3A4" w14:textId="77777777" w:rsidTr="00375A64">
        <w:trPr>
          <w:trHeight w:val="728"/>
        </w:trPr>
        <w:tc>
          <w:tcPr>
            <w:tcW w:w="4675" w:type="dxa"/>
          </w:tcPr>
          <w:p w14:paraId="48714A7C" w14:textId="6E351267" w:rsidR="0053546D" w:rsidRDefault="0053546D" w:rsidP="0084665E">
            <w:r>
              <w:t>National level decision-makers</w:t>
            </w:r>
          </w:p>
        </w:tc>
        <w:tc>
          <w:tcPr>
            <w:tcW w:w="4675" w:type="dxa"/>
          </w:tcPr>
          <w:p w14:paraId="3D435B9A" w14:textId="3C89AFF1" w:rsidR="0053546D" w:rsidRDefault="0053546D" w:rsidP="0084665E">
            <w:r>
              <w:t xml:space="preserve">Selected </w:t>
            </w:r>
            <w:r w:rsidR="007857B9">
              <w:t>relevant MOH</w:t>
            </w:r>
            <w:r w:rsidR="7C2A7F98">
              <w:t>/Government Health Services</w:t>
            </w:r>
            <w:r w:rsidR="007857B9">
              <w:t xml:space="preserve"> </w:t>
            </w:r>
            <w:r>
              <w:t xml:space="preserve">department directors and other relevant Ministries </w:t>
            </w:r>
          </w:p>
        </w:tc>
      </w:tr>
      <w:tr w:rsidR="0053546D" w14:paraId="627DEA90" w14:textId="77777777" w:rsidTr="0053546D">
        <w:trPr>
          <w:trHeight w:val="998"/>
        </w:trPr>
        <w:tc>
          <w:tcPr>
            <w:tcW w:w="4675" w:type="dxa"/>
          </w:tcPr>
          <w:p w14:paraId="06A0195A" w14:textId="59296702" w:rsidR="0053546D" w:rsidRDefault="0053546D" w:rsidP="0084665E">
            <w:r>
              <w:t>CRVS</w:t>
            </w:r>
          </w:p>
        </w:tc>
        <w:tc>
          <w:tcPr>
            <w:tcW w:w="4675" w:type="dxa"/>
          </w:tcPr>
          <w:p w14:paraId="4390941E" w14:textId="4B33F2CD" w:rsidR="0053546D" w:rsidRDefault="0053546D" w:rsidP="0084665E">
            <w:r>
              <w:t>CRVS manager</w:t>
            </w:r>
            <w:r w:rsidR="00F21240">
              <w:t>s at national, province and district level</w:t>
            </w:r>
            <w:r w:rsidR="007857B9">
              <w:t xml:space="preserve"> (as relevant)</w:t>
            </w:r>
            <w:r>
              <w:t xml:space="preserve">; </w:t>
            </w:r>
          </w:p>
          <w:p w14:paraId="46F93BF4" w14:textId="46BE833F" w:rsidR="0053546D" w:rsidRDefault="0053546D" w:rsidP="0084665E">
            <w:r>
              <w:t>Director</w:t>
            </w:r>
            <w:r w:rsidR="00F21240">
              <w:t>s and managers</w:t>
            </w:r>
            <w:r>
              <w:t xml:space="preserve"> of Vital Statistics from National Statistics Office </w:t>
            </w:r>
          </w:p>
        </w:tc>
      </w:tr>
      <w:tr w:rsidR="0053546D" w14:paraId="08E3013D" w14:textId="77777777" w:rsidTr="0053546D">
        <w:tc>
          <w:tcPr>
            <w:tcW w:w="4675" w:type="dxa"/>
          </w:tcPr>
          <w:p w14:paraId="139C77DF" w14:textId="7534833B" w:rsidR="0053546D" w:rsidRDefault="00F21240" w:rsidP="0084665E">
            <w:r>
              <w:t>HMIS</w:t>
            </w:r>
          </w:p>
        </w:tc>
        <w:tc>
          <w:tcPr>
            <w:tcW w:w="4675" w:type="dxa"/>
          </w:tcPr>
          <w:p w14:paraId="40CE1B8C" w14:textId="77777777" w:rsidR="0053546D" w:rsidRDefault="007857B9" w:rsidP="0084665E">
            <w:r>
              <w:t>MOH Director of HIS and M&amp;E</w:t>
            </w:r>
          </w:p>
          <w:p w14:paraId="46DA4D48" w14:textId="49384E33" w:rsidR="007857B9" w:rsidRDefault="007857B9" w:rsidP="0084665E">
            <w:r>
              <w:t>National/regional level man</w:t>
            </w:r>
            <w:r w:rsidR="00260617">
              <w:t>a</w:t>
            </w:r>
            <w:r>
              <w:t>ger of HMIS</w:t>
            </w:r>
          </w:p>
          <w:p w14:paraId="74AF6C84" w14:textId="5F6EC00F" w:rsidR="007857B9" w:rsidRDefault="007857B9" w:rsidP="0084665E">
            <w:r>
              <w:t>Health facility data clerks</w:t>
            </w:r>
          </w:p>
        </w:tc>
      </w:tr>
      <w:tr w:rsidR="0053546D" w14:paraId="2A33587A" w14:textId="77777777" w:rsidTr="0053546D">
        <w:tc>
          <w:tcPr>
            <w:tcW w:w="4675" w:type="dxa"/>
          </w:tcPr>
          <w:p w14:paraId="07B32940" w14:textId="5F8CCF6B" w:rsidR="0053546D" w:rsidRDefault="00F21240" w:rsidP="0084665E">
            <w:r>
              <w:t>Surveys</w:t>
            </w:r>
          </w:p>
        </w:tc>
        <w:tc>
          <w:tcPr>
            <w:tcW w:w="4675" w:type="dxa"/>
          </w:tcPr>
          <w:p w14:paraId="7F42368A" w14:textId="3F9815F3" w:rsidR="0053546D" w:rsidRDefault="00F21240" w:rsidP="0084665E">
            <w:r>
              <w:t>Directors and managers of surveys at NSO and National Public Health Institute</w:t>
            </w:r>
          </w:p>
        </w:tc>
      </w:tr>
      <w:tr w:rsidR="0053546D" w14:paraId="34441405" w14:textId="77777777" w:rsidTr="0053546D">
        <w:tc>
          <w:tcPr>
            <w:tcW w:w="4675" w:type="dxa"/>
          </w:tcPr>
          <w:p w14:paraId="0ED5FC0B" w14:textId="4E7EB12D" w:rsidR="0053546D" w:rsidRDefault="00C77E08" w:rsidP="0084665E">
            <w:r>
              <w:t>Maternal and Perinatal Death Surveillance and Response (</w:t>
            </w:r>
            <w:r w:rsidR="00F21240">
              <w:t>MPDSR</w:t>
            </w:r>
            <w:r>
              <w:t>)</w:t>
            </w:r>
          </w:p>
        </w:tc>
        <w:tc>
          <w:tcPr>
            <w:tcW w:w="4675" w:type="dxa"/>
          </w:tcPr>
          <w:p w14:paraId="4232DC8E" w14:textId="581B08D5" w:rsidR="0053546D" w:rsidRDefault="00F21240" w:rsidP="0084665E">
            <w:r>
              <w:t>Director</w:t>
            </w:r>
            <w:r w:rsidR="007857B9">
              <w:t>/Managers of</w:t>
            </w:r>
            <w:r>
              <w:t xml:space="preserve"> MPDSR</w:t>
            </w:r>
          </w:p>
        </w:tc>
      </w:tr>
      <w:tr w:rsidR="00260617" w14:paraId="160269E5" w14:textId="77777777" w:rsidTr="0053546D">
        <w:tc>
          <w:tcPr>
            <w:tcW w:w="4675" w:type="dxa"/>
          </w:tcPr>
          <w:p w14:paraId="179AB4E8" w14:textId="406C35A6" w:rsidR="00260617" w:rsidRDefault="00260617" w:rsidP="0084665E">
            <w:r>
              <w:t>Morgues / Burial surveillance sites</w:t>
            </w:r>
          </w:p>
        </w:tc>
        <w:tc>
          <w:tcPr>
            <w:tcW w:w="4675" w:type="dxa"/>
          </w:tcPr>
          <w:p w14:paraId="251AF3A9" w14:textId="44D8B8DA" w:rsidR="00260617" w:rsidRDefault="00260617" w:rsidP="0084665E">
            <w:r>
              <w:t>Managers/Data clerks</w:t>
            </w:r>
          </w:p>
        </w:tc>
      </w:tr>
      <w:tr w:rsidR="00260617" w14:paraId="10E2F2DD" w14:textId="77777777" w:rsidTr="0053546D">
        <w:tc>
          <w:tcPr>
            <w:tcW w:w="4675" w:type="dxa"/>
          </w:tcPr>
          <w:p w14:paraId="5A5B0CA0" w14:textId="5916A3D8" w:rsidR="00260617" w:rsidRDefault="00260617" w:rsidP="0084665E">
            <w:r>
              <w:t>Health and Demographic Surveillance Sites</w:t>
            </w:r>
          </w:p>
        </w:tc>
        <w:tc>
          <w:tcPr>
            <w:tcW w:w="4675" w:type="dxa"/>
          </w:tcPr>
          <w:p w14:paraId="72004EFB" w14:textId="23C64CAA" w:rsidR="00260617" w:rsidRDefault="00260617" w:rsidP="0084665E">
            <w:r>
              <w:t>Managers of data collection and analysis</w:t>
            </w:r>
          </w:p>
        </w:tc>
      </w:tr>
      <w:tr w:rsidR="0053546D" w14:paraId="55113892" w14:textId="77777777" w:rsidTr="0053546D">
        <w:tc>
          <w:tcPr>
            <w:tcW w:w="4675" w:type="dxa"/>
          </w:tcPr>
          <w:p w14:paraId="32C0D4E4" w14:textId="79A38E05" w:rsidR="0053546D" w:rsidRDefault="00F21240" w:rsidP="0084665E">
            <w:r>
              <w:t>Communities</w:t>
            </w:r>
          </w:p>
        </w:tc>
        <w:tc>
          <w:tcPr>
            <w:tcW w:w="4675" w:type="dxa"/>
          </w:tcPr>
          <w:p w14:paraId="2AB3F6D6" w14:textId="4ABB97E0" w:rsidR="0053546D" w:rsidRDefault="00F21240" w:rsidP="0084665E">
            <w:r>
              <w:t>Selected community officials (Village chiefs</w:t>
            </w:r>
            <w:r w:rsidR="007857B9">
              <w:t>)</w:t>
            </w:r>
          </w:p>
        </w:tc>
      </w:tr>
      <w:tr w:rsidR="007857B9" w14:paraId="6A8338FF" w14:textId="77777777" w:rsidTr="0053546D">
        <w:tc>
          <w:tcPr>
            <w:tcW w:w="4675" w:type="dxa"/>
          </w:tcPr>
          <w:p w14:paraId="27280589" w14:textId="2985D8BF" w:rsidR="007857B9" w:rsidRDefault="007857B9" w:rsidP="0084665E">
            <w:r>
              <w:t>Government partners</w:t>
            </w:r>
            <w:r w:rsidR="00260617">
              <w:t>,</w:t>
            </w:r>
            <w:r>
              <w:t xml:space="preserve"> </w:t>
            </w:r>
            <w:r w:rsidR="00260617">
              <w:t xml:space="preserve">UN agencies, </w:t>
            </w:r>
            <w:r>
              <w:t>civil society NGOs</w:t>
            </w:r>
          </w:p>
        </w:tc>
        <w:tc>
          <w:tcPr>
            <w:tcW w:w="4675" w:type="dxa"/>
          </w:tcPr>
          <w:p w14:paraId="45690F78" w14:textId="54712AD8" w:rsidR="007857B9" w:rsidRDefault="007857B9" w:rsidP="0084665E">
            <w:r>
              <w:t>Identify relevant individuals involved in data gathering, analysis or use</w:t>
            </w:r>
          </w:p>
        </w:tc>
      </w:tr>
    </w:tbl>
    <w:p w14:paraId="2FB728A4" w14:textId="77777777" w:rsidR="00D47C28" w:rsidRDefault="00D47C28" w:rsidP="0084665E"/>
    <w:p w14:paraId="5E0C4F7B" w14:textId="72A28209" w:rsidR="00F13014" w:rsidRPr="00FF2215" w:rsidRDefault="00F13014" w:rsidP="0084665E">
      <w:pPr>
        <w:rPr>
          <w:b/>
          <w:bCs/>
          <w:smallCaps/>
          <w:sz w:val="24"/>
          <w:szCs w:val="24"/>
        </w:rPr>
      </w:pPr>
      <w:r w:rsidRPr="00FF2215">
        <w:rPr>
          <w:b/>
          <w:bCs/>
          <w:smallCaps/>
          <w:sz w:val="24"/>
          <w:szCs w:val="24"/>
        </w:rPr>
        <w:t>Ethical clearance</w:t>
      </w:r>
      <w:r w:rsidR="00FF2215">
        <w:rPr>
          <w:b/>
          <w:bCs/>
          <w:smallCaps/>
          <w:sz w:val="24"/>
          <w:szCs w:val="24"/>
        </w:rPr>
        <w:t>:</w:t>
      </w:r>
    </w:p>
    <w:p w14:paraId="03501220" w14:textId="14490443" w:rsidR="00F13014" w:rsidRDefault="39E9C094" w:rsidP="0084665E">
      <w:r>
        <w:t xml:space="preserve">If data are collected on existing systems’ functionality and do not include specific human subject data, it may be possible that the assessment is exempt from ethical clearance for human subjects research. We suggest checking with the local IRB office for ethical clearance requirements. If ethical clearance is required, it would be essential to factor in the time it will take to obtain approval before data collection is started. However, while processes for approval are engaged, desk reviews and specific data on existing systems’ functionality must be started. </w:t>
      </w:r>
    </w:p>
    <w:p w14:paraId="623D0489" w14:textId="7CEB86E2" w:rsidR="003C567E" w:rsidRPr="00FF2215" w:rsidRDefault="00001FB7" w:rsidP="0084665E">
      <w:pPr>
        <w:rPr>
          <w:smallCaps/>
          <w:sz w:val="24"/>
          <w:szCs w:val="24"/>
        </w:rPr>
      </w:pPr>
      <w:r w:rsidRPr="00FF2215">
        <w:rPr>
          <w:b/>
          <w:bCs/>
          <w:smallCaps/>
          <w:sz w:val="24"/>
          <w:szCs w:val="24"/>
        </w:rPr>
        <w:t>Data collection tools</w:t>
      </w:r>
      <w:r w:rsidR="00FF2215">
        <w:rPr>
          <w:b/>
          <w:bCs/>
          <w:smallCaps/>
          <w:sz w:val="24"/>
          <w:szCs w:val="24"/>
        </w:rPr>
        <w:t>:</w:t>
      </w:r>
    </w:p>
    <w:p w14:paraId="364EF7F0" w14:textId="03144F33" w:rsidR="005961CB" w:rsidRDefault="39E9C094" w:rsidP="0084665E">
      <w:r>
        <w:t>Two types of tools may be developed.</w:t>
      </w:r>
    </w:p>
    <w:p w14:paraId="505B62E4" w14:textId="68C70D15" w:rsidR="003C567E" w:rsidRDefault="003C567E" w:rsidP="0084665E">
      <w:r>
        <w:t xml:space="preserve">Structured tool to </w:t>
      </w:r>
      <w:r w:rsidR="004A4132">
        <w:t xml:space="preserve">conduct an </w:t>
      </w:r>
      <w:r>
        <w:t>inventor</w:t>
      </w:r>
      <w:r w:rsidR="0056651A">
        <w:t xml:space="preserve">y </w:t>
      </w:r>
      <w:r w:rsidR="004A4132">
        <w:t xml:space="preserve">of </w:t>
      </w:r>
      <w:r w:rsidR="0056651A">
        <w:t>existing data collection</w:t>
      </w:r>
      <w:r>
        <w:t xml:space="preserve"> tools and collect specific functionality and characteristics of system</w:t>
      </w:r>
      <w:r w:rsidR="0056651A">
        <w:t>s</w:t>
      </w:r>
      <w:r w:rsidR="00260617">
        <w:t xml:space="preserve"> identified through the desk review</w:t>
      </w:r>
      <w:r w:rsidR="00A246A1">
        <w:t xml:space="preserve"> (See form 1.1 in the appendix)</w:t>
      </w:r>
      <w:r w:rsidR="00260617">
        <w:t>.</w:t>
      </w:r>
    </w:p>
    <w:p w14:paraId="26AE0DB9" w14:textId="4BF78E8C" w:rsidR="00001FB7" w:rsidRDefault="00DC0A03" w:rsidP="0084665E">
      <w:r>
        <w:t>Structured or s</w:t>
      </w:r>
      <w:r w:rsidR="00001FB7">
        <w:t>emi structure</w:t>
      </w:r>
      <w:r w:rsidR="003C567E">
        <w:t>d</w:t>
      </w:r>
      <w:r w:rsidR="00001FB7">
        <w:t xml:space="preserve"> interview </w:t>
      </w:r>
      <w:r w:rsidR="00E555FC">
        <w:t>questionnaire</w:t>
      </w:r>
      <w:r w:rsidR="007857B9">
        <w:t>s</w:t>
      </w:r>
      <w:r w:rsidR="005961CB">
        <w:t xml:space="preserve">: 1) for </w:t>
      </w:r>
      <w:r w:rsidR="00E555FC">
        <w:t xml:space="preserve">mortality stakeholders including </w:t>
      </w:r>
      <w:r w:rsidR="005961CB">
        <w:t xml:space="preserve">national and subnational level leaders, planners, policymaker, </w:t>
      </w:r>
      <w:r w:rsidR="00E555FC">
        <w:t>data users and civil society (partners, civil society, community leaders)</w:t>
      </w:r>
      <w:r w:rsidR="00A246A1">
        <w:t xml:space="preserve"> (see form 1.2 in the appendix)</w:t>
      </w:r>
      <w:r w:rsidR="00E555FC">
        <w:t xml:space="preserve">, </w:t>
      </w:r>
      <w:r w:rsidR="005961CB">
        <w:t xml:space="preserve">2) </w:t>
      </w:r>
      <w:r w:rsidR="00001FB7">
        <w:t xml:space="preserve">for </w:t>
      </w:r>
      <w:r w:rsidR="005961CB">
        <w:t>mortality data producers and managers</w:t>
      </w:r>
      <w:r w:rsidR="00A246A1">
        <w:t xml:space="preserve"> (see form 1.3 in the appendix)</w:t>
      </w:r>
    </w:p>
    <w:p w14:paraId="6C948D73" w14:textId="08749E5A" w:rsidR="00093D34" w:rsidRPr="00FF2215" w:rsidRDefault="3884DBC4" w:rsidP="0084665E">
      <w:pPr>
        <w:rPr>
          <w:smallCaps/>
          <w:sz w:val="24"/>
          <w:szCs w:val="24"/>
        </w:rPr>
      </w:pPr>
      <w:r w:rsidRPr="00FF2215">
        <w:rPr>
          <w:b/>
          <w:bCs/>
          <w:smallCaps/>
          <w:sz w:val="24"/>
          <w:szCs w:val="24"/>
        </w:rPr>
        <w:t>Training</w:t>
      </w:r>
      <w:r w:rsidR="00FF2215">
        <w:rPr>
          <w:b/>
          <w:bCs/>
          <w:smallCaps/>
          <w:sz w:val="24"/>
          <w:szCs w:val="24"/>
        </w:rPr>
        <w:t>:</w:t>
      </w:r>
      <w:r w:rsidRPr="00FF2215">
        <w:rPr>
          <w:smallCaps/>
          <w:sz w:val="24"/>
          <w:szCs w:val="24"/>
        </w:rPr>
        <w:t xml:space="preserve"> </w:t>
      </w:r>
    </w:p>
    <w:p w14:paraId="572A66AF" w14:textId="782A4CE4" w:rsidR="3884DBC4" w:rsidRDefault="37B30058" w:rsidP="3884DBC4">
      <w:pPr>
        <w:spacing w:after="0"/>
        <w:rPr>
          <w:rFonts w:ascii="Aptos" w:eastAsia="Aptos" w:hAnsi="Aptos" w:cs="Aptos"/>
        </w:rPr>
      </w:pPr>
      <w:r w:rsidRPr="37B30058">
        <w:rPr>
          <w:rFonts w:ascii="Aptos" w:eastAsia="Aptos" w:hAnsi="Aptos" w:cs="Aptos"/>
        </w:rPr>
        <w:t xml:space="preserve">Recruit social scientists, such as sociologists or public health researchers, from local universities or research institutions to conduct qualitative and structured interviews for the assessment, leveraging their expertise to capture stakeholder perspectives about system operations and data </w:t>
      </w:r>
      <w:r w:rsidRPr="37B30058">
        <w:rPr>
          <w:rFonts w:ascii="Aptos" w:eastAsia="Aptos" w:hAnsi="Aptos" w:cs="Aptos"/>
        </w:rPr>
        <w:lastRenderedPageBreak/>
        <w:t>quality. Appoint a senior social scientist to coordinate the team, train data collectors over at least two days on interview techniques, ethical considerations, and cultural sensitivities, and oversee pilot testing with a small sample to refine tools. If local expertise is limited, partner with international organizations or train public health officers, ensuring tools are adapted to the country’s context (e.g., civil registration gaps) and quality control measures like debriefs are implemented for rigor.</w:t>
      </w:r>
    </w:p>
    <w:p w14:paraId="7D6C0CB6" w14:textId="1E3C4075" w:rsidR="3884DBC4" w:rsidRDefault="3884DBC4"/>
    <w:p w14:paraId="7BED578F" w14:textId="18A4E1BC" w:rsidR="005E7FDC" w:rsidRPr="00FF2215" w:rsidRDefault="37B30058" w:rsidP="0084665E">
      <w:pPr>
        <w:rPr>
          <w:b/>
          <w:bCs/>
          <w:smallCaps/>
          <w:sz w:val="24"/>
          <w:szCs w:val="24"/>
        </w:rPr>
      </w:pPr>
      <w:r w:rsidRPr="00FF2215">
        <w:rPr>
          <w:b/>
          <w:bCs/>
          <w:smallCaps/>
          <w:sz w:val="24"/>
          <w:szCs w:val="24"/>
        </w:rPr>
        <w:t>Data collection</w:t>
      </w:r>
      <w:r w:rsidR="00FF2215">
        <w:rPr>
          <w:b/>
          <w:bCs/>
          <w:smallCaps/>
          <w:sz w:val="24"/>
          <w:szCs w:val="24"/>
        </w:rPr>
        <w:t>:</w:t>
      </w:r>
      <w:r w:rsidRPr="00FF2215">
        <w:rPr>
          <w:b/>
          <w:bCs/>
          <w:smallCaps/>
          <w:sz w:val="24"/>
          <w:szCs w:val="24"/>
        </w:rPr>
        <w:t xml:space="preserve"> </w:t>
      </w:r>
    </w:p>
    <w:p w14:paraId="2FC08136" w14:textId="55CAC7C6" w:rsidR="005E7FDC" w:rsidRDefault="37B30058" w:rsidP="00955158">
      <w:pPr>
        <w:spacing w:after="0"/>
        <w:rPr>
          <w:rFonts w:ascii="Aptos" w:eastAsia="Aptos" w:hAnsi="Aptos" w:cs="Aptos"/>
        </w:rPr>
      </w:pPr>
      <w:r w:rsidRPr="37B30058">
        <w:rPr>
          <w:rFonts w:ascii="Aptos" w:eastAsia="Aptos" w:hAnsi="Aptos" w:cs="Aptos"/>
        </w:rPr>
        <w:t>Plan for electronic data collection using tablets to enhance efficiency and accuracy, with the system inventory tool—designed to catalog mortality data sources and infrastructure—implemented in Excel for accessibility and real-time updates. Program the semi-structured tool, used for standardized stakeholder interviews, on a familiar in-country platform like Open Data Kit (</w:t>
      </w:r>
      <w:hyperlink r:id="rId10" w:history="1">
        <w:r w:rsidRPr="37B30058">
          <w:rPr>
            <w:rStyle w:val="Hyperlink"/>
            <w:rFonts w:ascii="Aptos" w:eastAsia="Aptos" w:hAnsi="Aptos" w:cs="Aptos"/>
          </w:rPr>
          <w:t>ODK</w:t>
        </w:r>
      </w:hyperlink>
      <w:r w:rsidRPr="37B30058">
        <w:rPr>
          <w:rFonts w:ascii="Aptos" w:eastAsia="Aptos" w:hAnsi="Aptos" w:cs="Aptos"/>
        </w:rPr>
        <w:t xml:space="preserve">) or </w:t>
      </w:r>
      <w:hyperlink r:id="rId11" w:history="1">
        <w:r w:rsidRPr="37B30058">
          <w:rPr>
            <w:rStyle w:val="Hyperlink"/>
            <w:rFonts w:ascii="Aptos" w:eastAsia="Aptos" w:hAnsi="Aptos" w:cs="Aptos"/>
          </w:rPr>
          <w:t>Survey Solutions</w:t>
        </w:r>
      </w:hyperlink>
      <w:r w:rsidRPr="37B30058">
        <w:rPr>
          <w:rFonts w:ascii="Aptos" w:eastAsia="Aptos" w:hAnsi="Aptos" w:cs="Aptos"/>
        </w:rPr>
        <w:t xml:space="preserve">, leveraging their mobile-friendly features. Technical assistance from international partners (e.g., Johns Hopkins University) can support platform customization if needed. </w:t>
      </w:r>
    </w:p>
    <w:p w14:paraId="3807387A" w14:textId="49F9750E" w:rsidR="005E7FDC" w:rsidRDefault="005E7FDC" w:rsidP="37B30058">
      <w:pPr>
        <w:spacing w:after="0"/>
        <w:rPr>
          <w:rFonts w:ascii="Aptos" w:eastAsia="Aptos" w:hAnsi="Aptos" w:cs="Aptos"/>
        </w:rPr>
      </w:pPr>
    </w:p>
    <w:p w14:paraId="4411A588" w14:textId="65029F1A" w:rsidR="005E7FDC" w:rsidRDefault="37B30058" w:rsidP="37B30058">
      <w:pPr>
        <w:spacing w:after="0"/>
        <w:rPr>
          <w:rFonts w:ascii="Aptos" w:eastAsia="Aptos" w:hAnsi="Aptos" w:cs="Aptos"/>
        </w:rPr>
      </w:pPr>
      <w:r w:rsidRPr="37B30058">
        <w:rPr>
          <w:rFonts w:ascii="Aptos" w:eastAsia="Aptos" w:hAnsi="Aptos" w:cs="Aptos"/>
        </w:rPr>
        <w:t>For qualitative interviews, record discussions (with secure audio devices) and take notes. Transcribe recordings daily by a trained local team to ensure timely analysis, with contingencies like paper backups or offline tools for areas with limited connectivity. The senior social scientist should oversee tool adaptation, data quality, and adherence to a plan specifying sampling, transcription protocols, and thematic analysis, ensuring alignment with the country’s mortality surveillance context.</w:t>
      </w:r>
      <w:r>
        <w:t xml:space="preserve"> </w:t>
      </w:r>
    </w:p>
    <w:p w14:paraId="76464DA1" w14:textId="03E62ED0" w:rsidR="005E7FDC" w:rsidRDefault="005E7FDC" w:rsidP="37B30058">
      <w:pPr>
        <w:spacing w:after="0"/>
      </w:pPr>
    </w:p>
    <w:p w14:paraId="4E4C37EA" w14:textId="26E878E7" w:rsidR="00963147" w:rsidRPr="00FF2215" w:rsidRDefault="15A10536" w:rsidP="0084665E">
      <w:pPr>
        <w:rPr>
          <w:sz w:val="24"/>
          <w:szCs w:val="24"/>
        </w:rPr>
      </w:pPr>
      <w:r w:rsidRPr="00FF2215">
        <w:rPr>
          <w:b/>
          <w:bCs/>
          <w:smallCaps/>
          <w:sz w:val="24"/>
          <w:szCs w:val="24"/>
        </w:rPr>
        <w:t>Analysis</w:t>
      </w:r>
      <w:r w:rsidRPr="00FF2215">
        <w:rPr>
          <w:sz w:val="24"/>
          <w:szCs w:val="24"/>
        </w:rPr>
        <w:t xml:space="preserve">: </w:t>
      </w:r>
    </w:p>
    <w:p w14:paraId="7F122513" w14:textId="7EF94FE0" w:rsidR="005E7FDC" w:rsidRDefault="15A10536" w:rsidP="15A10536">
      <w:pPr>
        <w:spacing w:after="0"/>
        <w:rPr>
          <w:rFonts w:ascii="Aptos" w:eastAsia="Aptos" w:hAnsi="Aptos" w:cs="Aptos"/>
        </w:rPr>
      </w:pPr>
      <w:r w:rsidRPr="15A10536">
        <w:rPr>
          <w:rFonts w:ascii="Aptos" w:eastAsia="Aptos" w:hAnsi="Aptos" w:cs="Aptos"/>
        </w:rPr>
        <w:t xml:space="preserve"> Analyze data to address the assessment’s objectives---evaluating systems for a nationally representative Sample Registration System (SRS)---using primarily descriptive methods like thematic analysis for qualitative interviews and summary tables for system characteristics, producing clear reports and visualizations.</w:t>
      </w:r>
    </w:p>
    <w:p w14:paraId="7357D603" w14:textId="0E1FB8CF" w:rsidR="005E7FDC" w:rsidRDefault="15A10536" w:rsidP="0084665E">
      <w:r>
        <w:t xml:space="preserve"> </w:t>
      </w:r>
    </w:p>
    <w:p w14:paraId="448D9778" w14:textId="18941D45" w:rsidR="15A10536" w:rsidRDefault="15A10536" w:rsidP="15A10536">
      <w:pPr>
        <w:spacing w:after="0"/>
        <w:rPr>
          <w:rFonts w:ascii="Aptos" w:eastAsia="Aptos" w:hAnsi="Aptos" w:cs="Aptos"/>
        </w:rPr>
      </w:pPr>
      <w:r w:rsidRPr="15A10536">
        <w:rPr>
          <w:b/>
          <w:bCs/>
          <w:i/>
          <w:iCs/>
        </w:rPr>
        <w:t>Priority and legal framework for mortality and cause of death surveillance</w:t>
      </w:r>
      <w:r>
        <w:t xml:space="preserve">: </w:t>
      </w:r>
      <w:r w:rsidRPr="15A10536">
        <w:rPr>
          <w:rFonts w:ascii="Aptos" w:eastAsia="Aptos" w:hAnsi="Aptos" w:cs="Aptos"/>
        </w:rPr>
        <w:t xml:space="preserve"> For government priorities and legal frameworks, review interviews with leadership (e.g., Ministry of Health, CRVS officials) and strategic documents that help understand national priorities for mortality surveillance, existing laws or plans (including CRVS), funding mechanisms, and digitization goals. Identify key stakeholders, cross-sectoral linkages (e.g., data-sharing between health and interior ministries), and opportunities or challenges for SRS implementation, validating findings through stakeholder workshops.</w:t>
      </w:r>
    </w:p>
    <w:p w14:paraId="1A52140C" w14:textId="13AD23E2" w:rsidR="15A10536" w:rsidRDefault="15A10536"/>
    <w:p w14:paraId="6C0B8443" w14:textId="2AAC7F42" w:rsidR="15A10536" w:rsidRDefault="15A10536" w:rsidP="15A10536">
      <w:pPr>
        <w:spacing w:after="0"/>
        <w:rPr>
          <w:rFonts w:ascii="Aptos" w:eastAsia="Aptos" w:hAnsi="Aptos" w:cs="Aptos"/>
        </w:rPr>
      </w:pPr>
      <w:r w:rsidRPr="15A10536">
        <w:rPr>
          <w:b/>
          <w:bCs/>
          <w:i/>
          <w:iCs/>
        </w:rPr>
        <w:t>Mortality data systems and linkages</w:t>
      </w:r>
      <w:r>
        <w:t xml:space="preserve">: </w:t>
      </w:r>
      <w:r w:rsidRPr="15A10536">
        <w:rPr>
          <w:rFonts w:ascii="Aptos" w:eastAsia="Aptos" w:hAnsi="Aptos" w:cs="Aptos"/>
        </w:rPr>
        <w:t>To assess mortality data systems and linkages, document existing platforms (e.g., CRVS, DHIS-2), detailing their legal mandates, geographic coverage, representativeness, data collection tools, processes, frequency, storage, analysis, outputs, and dissemination methods. Analyze system interactions, data flows, interoperability (e.g., CRVS-DHIS-</w:t>
      </w:r>
      <w:r w:rsidRPr="15A10536">
        <w:rPr>
          <w:rFonts w:ascii="Aptos" w:eastAsia="Aptos" w:hAnsi="Aptos" w:cs="Aptos"/>
        </w:rPr>
        <w:lastRenderedPageBreak/>
        <w:t>2 compatibility), and data use.  Use social network analysis to map stakeholder relationships, as demonstrated in Zambia’s assessment (contact technical partners for support). Evaluate data quality, including completeness and accuracy, to inform SRS design.</w:t>
      </w:r>
    </w:p>
    <w:p w14:paraId="502AA029" w14:textId="70993B0A" w:rsidR="15A10536" w:rsidRDefault="15A10536"/>
    <w:p w14:paraId="5F747140" w14:textId="448B2F78" w:rsidR="00503B44" w:rsidRDefault="00503B44" w:rsidP="15A10536">
      <w:pPr>
        <w:spacing w:after="0"/>
        <w:rPr>
          <w:rStyle w:val="FootnoteReference"/>
        </w:rPr>
      </w:pPr>
      <w:r w:rsidRPr="15A10536">
        <w:rPr>
          <w:b/>
          <w:bCs/>
          <w:i/>
          <w:iCs/>
        </w:rPr>
        <w:t xml:space="preserve">Experience with digital solutions for data collection </w:t>
      </w:r>
      <w:r w:rsidR="00B32DB0" w:rsidRPr="15A10536">
        <w:rPr>
          <w:b/>
          <w:bCs/>
          <w:i/>
          <w:iCs/>
        </w:rPr>
        <w:t>and</w:t>
      </w:r>
      <w:r w:rsidRPr="15A10536">
        <w:rPr>
          <w:b/>
          <w:bCs/>
          <w:i/>
          <w:iCs/>
        </w:rPr>
        <w:t xml:space="preserve"> monitoring</w:t>
      </w:r>
      <w:r>
        <w:t xml:space="preserve">: </w:t>
      </w:r>
      <w:r w:rsidR="15A10536" w:rsidRPr="15A10536">
        <w:rPr>
          <w:rFonts w:ascii="Aptos" w:eastAsia="Aptos" w:hAnsi="Aptos" w:cs="Aptos"/>
        </w:rPr>
        <w:t xml:space="preserve">For digital solutions, describe current or planned use of tools like electronic CRVS or mobile platforms, assessing software types, capacity, and guidelines for digitization, such as </w:t>
      </w:r>
      <w:r w:rsidR="15A10536">
        <w:t>WHO SMART Guidelines</w:t>
      </w:r>
      <w:r w:rsidRPr="15A10536">
        <w:rPr>
          <w:rStyle w:val="FootnoteReference"/>
        </w:rPr>
        <w:footnoteReference w:id="3"/>
      </w:r>
      <w:r w:rsidR="15A10536" w:rsidRPr="15A10536">
        <w:rPr>
          <w:rFonts w:ascii="Aptos" w:eastAsia="Aptos" w:hAnsi="Aptos" w:cs="Aptos"/>
        </w:rPr>
        <w:t xml:space="preserve"> or other digital health standards. Highlight infrastructure or training challenges to gauge scalability for SRS implementation.</w:t>
      </w:r>
      <w:r w:rsidR="15A10536">
        <w:t xml:space="preserve"> </w:t>
      </w:r>
    </w:p>
    <w:p w14:paraId="7632E5AD" w14:textId="46A367D3" w:rsidR="15A10536" w:rsidRDefault="15A10536" w:rsidP="15A10536">
      <w:pPr>
        <w:spacing w:after="0"/>
      </w:pPr>
      <w:r>
        <w:t xml:space="preserve"> </w:t>
      </w:r>
    </w:p>
    <w:p w14:paraId="241EA88D" w14:textId="35C1896A" w:rsidR="00963147" w:rsidRDefault="15A10536" w:rsidP="15A10536">
      <w:pPr>
        <w:spacing w:after="0"/>
        <w:rPr>
          <w:rFonts w:ascii="Aptos" w:eastAsia="Aptos" w:hAnsi="Aptos" w:cs="Aptos"/>
        </w:rPr>
      </w:pPr>
      <w:r w:rsidRPr="15A10536">
        <w:rPr>
          <w:b/>
          <w:bCs/>
          <w:i/>
          <w:iCs/>
        </w:rPr>
        <w:t>SWOT analysis of identified systems</w:t>
      </w:r>
      <w:r w:rsidR="00B53E24">
        <w:t xml:space="preserve">: </w:t>
      </w:r>
      <w:r w:rsidR="00B53E24" w:rsidRPr="15A10536">
        <w:rPr>
          <w:rFonts w:ascii="Aptos" w:eastAsia="Aptos" w:hAnsi="Aptos" w:cs="Aptos"/>
        </w:rPr>
        <w:t>Conduct</w:t>
      </w:r>
      <w:r w:rsidRPr="15A10536">
        <w:rPr>
          <w:rFonts w:ascii="Aptos" w:eastAsia="Aptos" w:hAnsi="Aptos" w:cs="Aptos"/>
        </w:rPr>
        <w:t xml:space="preserve"> a SWOT analysis (Strengths, Weaknesses, Opportunities, Threats) for each platform and the overall mortality surveillance landscape, capturing system-specific and collective gaps. Led by the assessment team, draft the analysis and then engage a broader stakeholder committee through workshops to refine insights and prioritize actionable recommendations for SRS planning.</w:t>
      </w:r>
    </w:p>
    <w:p w14:paraId="1B62D9CD" w14:textId="3B46E448" w:rsidR="00963147" w:rsidRDefault="15A10536" w:rsidP="0084665E">
      <w:r>
        <w:t xml:space="preserve"> </w:t>
      </w:r>
    </w:p>
    <w:p w14:paraId="282E2463" w14:textId="18A2D570" w:rsidR="006139F2" w:rsidRPr="005A6792" w:rsidRDefault="006139F2" w:rsidP="0084665E">
      <w:pPr>
        <w:rPr>
          <w:b/>
          <w:bCs/>
          <w:smallCaps/>
          <w:sz w:val="24"/>
          <w:szCs w:val="24"/>
        </w:rPr>
      </w:pPr>
      <w:r w:rsidRPr="005A6792">
        <w:rPr>
          <w:b/>
          <w:bCs/>
          <w:smallCaps/>
          <w:sz w:val="24"/>
          <w:szCs w:val="24"/>
        </w:rPr>
        <w:t>Reporting</w:t>
      </w:r>
      <w:r w:rsidR="005A6792" w:rsidRPr="005A6792">
        <w:rPr>
          <w:b/>
          <w:bCs/>
          <w:smallCaps/>
          <w:sz w:val="24"/>
          <w:szCs w:val="24"/>
        </w:rPr>
        <w:t>:</w:t>
      </w:r>
    </w:p>
    <w:p w14:paraId="5FAB691A" w14:textId="776A29EE" w:rsidR="006139F2" w:rsidRDefault="00B756BD" w:rsidP="0084665E">
      <w:r>
        <w:t>A comprehensive report detailing the findings of the assessment must be produced. We propose that the report be organized along the following sections:</w:t>
      </w:r>
    </w:p>
    <w:p w14:paraId="557F20D1" w14:textId="2EC09765" w:rsidR="00B756BD" w:rsidRDefault="15A10536" w:rsidP="00B756BD">
      <w:pPr>
        <w:pStyle w:val="ListParagraph"/>
        <w:numPr>
          <w:ilvl w:val="0"/>
          <w:numId w:val="6"/>
        </w:numPr>
      </w:pPr>
      <w:r>
        <w:t xml:space="preserve">Background: summarize relevant contextual information about the countrygovernment’s health and population goals, key strategic plans, efforts made to collect mortality data, and rationale for a mortality surveillance in the country. </w:t>
      </w:r>
    </w:p>
    <w:p w14:paraId="1CA46129" w14:textId="033B2757" w:rsidR="00B756BD" w:rsidRDefault="00B756BD" w:rsidP="00B756BD">
      <w:pPr>
        <w:pStyle w:val="ListParagraph"/>
        <w:numPr>
          <w:ilvl w:val="0"/>
          <w:numId w:val="6"/>
        </w:numPr>
      </w:pPr>
      <w:r>
        <w:t xml:space="preserve">Objective: the assessment is conducted to provide data that will inform the design and implementation of a sample registration system in the country. Such </w:t>
      </w:r>
      <w:r w:rsidR="0083060D">
        <w:t>an objective</w:t>
      </w:r>
      <w:r>
        <w:t xml:space="preserve"> must be indicated and the </w:t>
      </w:r>
      <w:r w:rsidR="00374134">
        <w:t>long-term</w:t>
      </w:r>
      <w:r>
        <w:t xml:space="preserve"> goal full elucidated. Specific objectives related to the assessment would be included. In </w:t>
      </w:r>
      <w:r w:rsidR="00374134">
        <w:t>general,</w:t>
      </w:r>
      <w:r>
        <w:t xml:space="preserve"> this information would have been already included in the protocol of the assessment </w:t>
      </w:r>
    </w:p>
    <w:p w14:paraId="0B9CC92D" w14:textId="7FCE5B7F" w:rsidR="00B756BD" w:rsidRDefault="00B756BD" w:rsidP="00B756BD">
      <w:pPr>
        <w:pStyle w:val="ListParagraph"/>
        <w:numPr>
          <w:ilvl w:val="0"/>
          <w:numId w:val="6"/>
        </w:numPr>
      </w:pPr>
      <w:r>
        <w:t>Implementing agency: state the agencies that led the activities, other partners that were involved, and their specific roles</w:t>
      </w:r>
    </w:p>
    <w:p w14:paraId="3E10EE68" w14:textId="2E8E1BAE" w:rsidR="00B756BD" w:rsidRDefault="00B756BD" w:rsidP="00B756BD">
      <w:pPr>
        <w:pStyle w:val="ListParagraph"/>
        <w:numPr>
          <w:ilvl w:val="0"/>
          <w:numId w:val="6"/>
        </w:numPr>
      </w:pPr>
      <w:r>
        <w:t>Methods of the assessment: this section will borrow from the protocol of the assessment, updated with actual implementation changes</w:t>
      </w:r>
    </w:p>
    <w:p w14:paraId="65D625E4" w14:textId="77777777" w:rsidR="00F13014" w:rsidRDefault="00F13014" w:rsidP="00B756BD">
      <w:pPr>
        <w:pStyle w:val="ListParagraph"/>
        <w:numPr>
          <w:ilvl w:val="0"/>
          <w:numId w:val="6"/>
        </w:numPr>
      </w:pPr>
      <w:r>
        <w:t>Results</w:t>
      </w:r>
    </w:p>
    <w:p w14:paraId="3709C798" w14:textId="7F88B94E" w:rsidR="00F13014" w:rsidRDefault="00F13014" w:rsidP="002677C3">
      <w:pPr>
        <w:pStyle w:val="ListParagraph"/>
        <w:numPr>
          <w:ilvl w:val="1"/>
          <w:numId w:val="6"/>
        </w:numPr>
      </w:pPr>
      <w:r>
        <w:t>Mortality surveillance framework (describe any</w:t>
      </w:r>
      <w:r w:rsidR="00374134">
        <w:t xml:space="preserve"> existing</w:t>
      </w:r>
      <w:r>
        <w:t xml:space="preserve"> </w:t>
      </w:r>
      <w:r w:rsidR="00374134">
        <w:t>high-level framework, policy, structure, committees, and mandates for</w:t>
      </w:r>
      <w:r>
        <w:t xml:space="preserve"> </w:t>
      </w:r>
      <w:r w:rsidR="00374134">
        <w:t>mortality surveillance in the country</w:t>
      </w:r>
      <w:r w:rsidR="0083060D">
        <w:t>, financing</w:t>
      </w:r>
      <w:r w:rsidR="00374134">
        <w:t>)</w:t>
      </w:r>
    </w:p>
    <w:p w14:paraId="0573FD26" w14:textId="2C528A35" w:rsidR="00B756BD" w:rsidRDefault="00F13014" w:rsidP="002677C3">
      <w:pPr>
        <w:pStyle w:val="ListParagraph"/>
        <w:numPr>
          <w:ilvl w:val="1"/>
          <w:numId w:val="6"/>
        </w:numPr>
      </w:pPr>
      <w:r>
        <w:t>Mortality data system</w:t>
      </w:r>
      <w:r w:rsidR="00374134">
        <w:t>s</w:t>
      </w:r>
      <w:r>
        <w:t xml:space="preserve"> and stakeholders</w:t>
      </w:r>
    </w:p>
    <w:p w14:paraId="550AC0BF" w14:textId="19E258EC" w:rsidR="00F13014" w:rsidRDefault="00F13014" w:rsidP="00374134">
      <w:pPr>
        <w:pStyle w:val="ListParagraph"/>
        <w:numPr>
          <w:ilvl w:val="1"/>
          <w:numId w:val="6"/>
        </w:numPr>
      </w:pPr>
      <w:r>
        <w:t xml:space="preserve">Linkages/Integration </w:t>
      </w:r>
      <w:r w:rsidR="00374134">
        <w:t>of mortality systems</w:t>
      </w:r>
    </w:p>
    <w:p w14:paraId="7E13DA0B" w14:textId="6BA73C55" w:rsidR="00374134" w:rsidRDefault="00374134" w:rsidP="002677C3">
      <w:pPr>
        <w:pStyle w:val="ListParagraph"/>
        <w:numPr>
          <w:ilvl w:val="2"/>
          <w:numId w:val="6"/>
        </w:numPr>
      </w:pPr>
      <w:r>
        <w:t>Network analysis</w:t>
      </w:r>
    </w:p>
    <w:p w14:paraId="116B2E28" w14:textId="14BE7C9F" w:rsidR="00374134" w:rsidRDefault="00374134" w:rsidP="00374134">
      <w:pPr>
        <w:pStyle w:val="ListParagraph"/>
        <w:numPr>
          <w:ilvl w:val="1"/>
          <w:numId w:val="6"/>
        </w:numPr>
      </w:pPr>
      <w:r>
        <w:t xml:space="preserve">Main mortality data indicators produced by each system </w:t>
      </w:r>
    </w:p>
    <w:p w14:paraId="3CB79926" w14:textId="3EE03A3F" w:rsidR="00374134" w:rsidRDefault="00374134" w:rsidP="00374134">
      <w:pPr>
        <w:pStyle w:val="ListParagraph"/>
        <w:numPr>
          <w:ilvl w:val="2"/>
          <w:numId w:val="6"/>
        </w:numPr>
      </w:pPr>
      <w:r>
        <w:t>Data forms, elements, and flow</w:t>
      </w:r>
    </w:p>
    <w:p w14:paraId="3172C11F" w14:textId="59551B02" w:rsidR="00374134" w:rsidRDefault="00374134" w:rsidP="002677C3">
      <w:pPr>
        <w:pStyle w:val="ListParagraph"/>
        <w:numPr>
          <w:ilvl w:val="2"/>
          <w:numId w:val="6"/>
        </w:numPr>
      </w:pPr>
      <w:r>
        <w:lastRenderedPageBreak/>
        <w:t>Indicators: numerators and denominators</w:t>
      </w:r>
    </w:p>
    <w:p w14:paraId="0774F150" w14:textId="75330B4B" w:rsidR="00374134" w:rsidRDefault="00374134" w:rsidP="00374134">
      <w:pPr>
        <w:pStyle w:val="ListParagraph"/>
        <w:numPr>
          <w:ilvl w:val="1"/>
          <w:numId w:val="6"/>
        </w:numPr>
      </w:pPr>
      <w:r>
        <w:t>Geographic coverage and data reporting</w:t>
      </w:r>
    </w:p>
    <w:p w14:paraId="41221D55" w14:textId="3CC63235" w:rsidR="00374134" w:rsidRDefault="00C815D8" w:rsidP="00374134">
      <w:pPr>
        <w:pStyle w:val="ListParagraph"/>
        <w:numPr>
          <w:ilvl w:val="1"/>
          <w:numId w:val="6"/>
        </w:numPr>
      </w:pPr>
      <w:r>
        <w:t>Experience and use of IT and digital solutions</w:t>
      </w:r>
    </w:p>
    <w:p w14:paraId="64619DDB" w14:textId="42521235" w:rsidR="00C815D8" w:rsidRDefault="00C815D8" w:rsidP="00374134">
      <w:pPr>
        <w:pStyle w:val="ListParagraph"/>
        <w:numPr>
          <w:ilvl w:val="1"/>
          <w:numId w:val="6"/>
        </w:numPr>
      </w:pPr>
      <w:r>
        <w:t>SWOT analysis of existing data systems and existing gaps</w:t>
      </w:r>
    </w:p>
    <w:p w14:paraId="703527BB" w14:textId="5F9D687E" w:rsidR="00C815D8" w:rsidRDefault="00C815D8" w:rsidP="002677C3">
      <w:pPr>
        <w:pStyle w:val="ListParagraph"/>
        <w:numPr>
          <w:ilvl w:val="0"/>
          <w:numId w:val="6"/>
        </w:numPr>
      </w:pPr>
      <w:r>
        <w:t>Recommendations for the design of a sample registration system</w:t>
      </w:r>
      <w:r w:rsidR="0083060D">
        <w:t xml:space="preserve"> (institutional lead, stakeholders to engage, financing, methodological design, data collection and flow, analysis and reporting, dissemination, promotion of data demand and use)</w:t>
      </w:r>
    </w:p>
    <w:p w14:paraId="71497E24" w14:textId="1872F05C" w:rsidR="00C815D8" w:rsidRDefault="00C815D8" w:rsidP="00C815D8">
      <w:pPr>
        <w:pStyle w:val="ListParagraph"/>
        <w:numPr>
          <w:ilvl w:val="0"/>
          <w:numId w:val="6"/>
        </w:numPr>
      </w:pPr>
      <w:r>
        <w:t>Limitations and conclusion</w:t>
      </w:r>
    </w:p>
    <w:p w14:paraId="751986A8" w14:textId="7553ECD7" w:rsidR="00B32DB0" w:rsidRDefault="00C815D8" w:rsidP="002677C3">
      <w:pPr>
        <w:pStyle w:val="ListParagraph"/>
        <w:numPr>
          <w:ilvl w:val="0"/>
          <w:numId w:val="6"/>
        </w:numPr>
      </w:pPr>
      <w:r>
        <w:t>Appendix: Tools used</w:t>
      </w:r>
      <w:r w:rsidR="00B32DB0">
        <w:t xml:space="preserve">; </w:t>
      </w:r>
      <w:r w:rsidR="003E373A">
        <w:t>list of stakeholders (institutions); relevant charts</w:t>
      </w:r>
    </w:p>
    <w:p w14:paraId="02ABDEDC" w14:textId="7062BCB5" w:rsidR="00C815D8" w:rsidRDefault="00B32DB0" w:rsidP="002677C3">
      <w:pPr>
        <w:pStyle w:val="ListParagraph"/>
        <w:numPr>
          <w:ilvl w:val="0"/>
          <w:numId w:val="6"/>
        </w:numPr>
      </w:pPr>
      <w:r>
        <w:t xml:space="preserve">References </w:t>
      </w:r>
      <w:r w:rsidR="00C815D8">
        <w:t xml:space="preserve"> </w:t>
      </w:r>
    </w:p>
    <w:p w14:paraId="41382845" w14:textId="77777777" w:rsidR="00B756BD" w:rsidRDefault="00B756BD" w:rsidP="0084665E"/>
    <w:p w14:paraId="73DDD4B5" w14:textId="39E2E016" w:rsidR="00963147" w:rsidRPr="005A6792" w:rsidRDefault="687947B3" w:rsidP="0084665E">
      <w:pPr>
        <w:rPr>
          <w:b/>
          <w:bCs/>
          <w:smallCaps/>
          <w:sz w:val="24"/>
          <w:szCs w:val="24"/>
        </w:rPr>
      </w:pPr>
      <w:r w:rsidRPr="005A6792">
        <w:rPr>
          <w:b/>
          <w:bCs/>
          <w:smallCaps/>
          <w:sz w:val="24"/>
          <w:szCs w:val="24"/>
        </w:rPr>
        <w:t>Results sharing</w:t>
      </w:r>
      <w:r w:rsidR="005A6792" w:rsidRPr="005A6792">
        <w:rPr>
          <w:b/>
          <w:bCs/>
          <w:smallCaps/>
          <w:sz w:val="24"/>
          <w:szCs w:val="24"/>
        </w:rPr>
        <w:t>:</w:t>
      </w:r>
    </w:p>
    <w:p w14:paraId="1BD0C4F0" w14:textId="27B6217B" w:rsidR="00963147" w:rsidRDefault="687947B3" w:rsidP="687947B3">
      <w:pPr>
        <w:spacing w:after="0"/>
        <w:rPr>
          <w:rFonts w:ascii="Aptos" w:eastAsia="Aptos" w:hAnsi="Aptos" w:cs="Aptos"/>
        </w:rPr>
      </w:pPr>
      <w:r w:rsidRPr="687947B3">
        <w:rPr>
          <w:rFonts w:ascii="Aptos" w:eastAsia="Aptos" w:hAnsi="Aptos" w:cs="Aptos"/>
        </w:rPr>
        <w:t xml:space="preserve"> Organize a technical meeting to present findings from the assessment, discuss proposed mortality surveillance principles (e.g., data quality, interoperability), and recommend strategies for a sample registration system (SRS). Discuss site selection, digital tools, and funding plans, aiming to validate results and secure stakeholder commitment. Prioritize inviting key stakeholders—such as Ministry of Health officials, CRVS authorities, district health officers, and partners like WHO—based on their influence and data oversight roles, ensuring representation from national and subnational levels. Conduct the meeting as a hybrid workshop with presentations and discussions, using visualizations like system maps to communicate gaps and opportunities.  Produce a policy brief outlining actionable steps. Follow up by disseminating a detailed report and forming stakeholder working groups to sustain momentum for SRS implementation, adapting recommendations to the country’s resource and system context.</w:t>
      </w:r>
    </w:p>
    <w:p w14:paraId="768ABBDD" w14:textId="167389A8" w:rsidR="00963147" w:rsidRDefault="687947B3" w:rsidP="0084665E">
      <w:r>
        <w:t xml:space="preserve"> </w:t>
      </w:r>
    </w:p>
    <w:p w14:paraId="24BE634D" w14:textId="77777777" w:rsidR="00963147" w:rsidRDefault="00963147"/>
    <w:p w14:paraId="4B347841" w14:textId="77777777" w:rsidR="00802BE5" w:rsidRDefault="00802BE5">
      <w:pPr>
        <w:rPr>
          <w:b/>
          <w:bCs/>
        </w:rPr>
      </w:pPr>
      <w:r>
        <w:rPr>
          <w:b/>
          <w:bCs/>
        </w:rPr>
        <w:br w:type="page"/>
      </w:r>
    </w:p>
    <w:p w14:paraId="6B0BCCEB" w14:textId="5514DFE7" w:rsidR="00963147" w:rsidRPr="00D0614B" w:rsidRDefault="00963147">
      <w:pPr>
        <w:rPr>
          <w:b/>
          <w:bCs/>
          <w:smallCaps/>
          <w:sz w:val="24"/>
          <w:szCs w:val="24"/>
        </w:rPr>
      </w:pPr>
      <w:r w:rsidRPr="00D0614B">
        <w:rPr>
          <w:b/>
          <w:bCs/>
          <w:smallCaps/>
          <w:sz w:val="24"/>
          <w:szCs w:val="24"/>
        </w:rPr>
        <w:lastRenderedPageBreak/>
        <w:t>Appendix</w:t>
      </w:r>
      <w:r w:rsidR="00D0614B">
        <w:rPr>
          <w:b/>
          <w:bCs/>
          <w:smallCaps/>
          <w:sz w:val="24"/>
          <w:szCs w:val="24"/>
        </w:rPr>
        <w:t>:</w:t>
      </w:r>
    </w:p>
    <w:tbl>
      <w:tblPr>
        <w:tblW w:w="9410" w:type="dxa"/>
        <w:tblInd w:w="98" w:type="dxa"/>
        <w:tblLayout w:type="fixed"/>
        <w:tblCellMar>
          <w:left w:w="0" w:type="dxa"/>
          <w:right w:w="0" w:type="dxa"/>
        </w:tblCellMar>
        <w:tblLook w:val="01E0" w:firstRow="1" w:lastRow="1" w:firstColumn="1" w:lastColumn="1" w:noHBand="0" w:noVBand="0"/>
      </w:tblPr>
      <w:tblGrid>
        <w:gridCol w:w="1782"/>
        <w:gridCol w:w="1724"/>
        <w:gridCol w:w="1862"/>
        <w:gridCol w:w="1861"/>
        <w:gridCol w:w="2181"/>
      </w:tblGrid>
      <w:tr w:rsidR="00802BE5" w:rsidRPr="00861363" w14:paraId="575A8FD3" w14:textId="77777777" w:rsidTr="687947B3">
        <w:trPr>
          <w:trHeight w:hRule="exact" w:val="377"/>
        </w:trPr>
        <w:tc>
          <w:tcPr>
            <w:tcW w:w="9410" w:type="dxa"/>
            <w:gridSpan w:val="5"/>
            <w:tcBorders>
              <w:top w:val="single" w:sz="7" w:space="0" w:color="000000" w:themeColor="text1"/>
              <w:left w:val="single" w:sz="8" w:space="0" w:color="000000" w:themeColor="text1"/>
              <w:bottom w:val="single" w:sz="9" w:space="0" w:color="000000" w:themeColor="text1"/>
              <w:right w:val="single" w:sz="8" w:space="0" w:color="000000" w:themeColor="text1"/>
            </w:tcBorders>
          </w:tcPr>
          <w:p w14:paraId="52530E5B" w14:textId="77777777" w:rsidR="00802BE5" w:rsidRPr="00861363" w:rsidRDefault="00802BE5" w:rsidP="004074DB">
            <w:pPr>
              <w:pStyle w:val="TableParagraph"/>
              <w:spacing w:line="362" w:lineRule="auto"/>
              <w:ind w:left="98" w:right="315"/>
              <w:rPr>
                <w:rFonts w:eastAsia="Times New Roman" w:cs="Times New Roman"/>
                <w:sz w:val="20"/>
                <w:szCs w:val="20"/>
              </w:rPr>
            </w:pPr>
            <w:r w:rsidRPr="00861363">
              <w:rPr>
                <w:b/>
                <w:spacing w:val="-1"/>
                <w:sz w:val="20"/>
                <w:szCs w:val="20"/>
              </w:rPr>
              <w:t>Table</w:t>
            </w:r>
            <w:r w:rsidRPr="00861363">
              <w:rPr>
                <w:b/>
                <w:spacing w:val="-7"/>
                <w:sz w:val="20"/>
                <w:szCs w:val="20"/>
              </w:rPr>
              <w:t xml:space="preserve"> </w:t>
            </w:r>
            <w:r w:rsidRPr="00861363">
              <w:rPr>
                <w:b/>
                <w:sz w:val="20"/>
                <w:szCs w:val="20"/>
              </w:rPr>
              <w:t>1:</w:t>
            </w:r>
            <w:r w:rsidRPr="00861363">
              <w:rPr>
                <w:b/>
                <w:spacing w:val="-8"/>
                <w:sz w:val="20"/>
                <w:szCs w:val="20"/>
              </w:rPr>
              <w:t xml:space="preserve"> </w:t>
            </w:r>
            <w:r w:rsidRPr="00861363">
              <w:rPr>
                <w:spacing w:val="-1"/>
                <w:sz w:val="20"/>
                <w:szCs w:val="20"/>
              </w:rPr>
              <w:t>Key</w:t>
            </w:r>
            <w:r w:rsidRPr="00861363">
              <w:rPr>
                <w:spacing w:val="-12"/>
                <w:sz w:val="20"/>
                <w:szCs w:val="20"/>
              </w:rPr>
              <w:t xml:space="preserve"> </w:t>
            </w:r>
            <w:r w:rsidRPr="00861363">
              <w:rPr>
                <w:spacing w:val="-1"/>
                <w:sz w:val="20"/>
                <w:szCs w:val="20"/>
              </w:rPr>
              <w:t>informants</w:t>
            </w:r>
            <w:r w:rsidRPr="00861363">
              <w:rPr>
                <w:spacing w:val="-3"/>
                <w:sz w:val="20"/>
                <w:szCs w:val="20"/>
              </w:rPr>
              <w:t xml:space="preserve"> </w:t>
            </w:r>
            <w:r w:rsidRPr="00861363">
              <w:rPr>
                <w:spacing w:val="-1"/>
                <w:sz w:val="20"/>
                <w:szCs w:val="20"/>
              </w:rPr>
              <w:t>interviewed</w:t>
            </w:r>
            <w:r w:rsidRPr="00861363">
              <w:rPr>
                <w:spacing w:val="-7"/>
                <w:sz w:val="20"/>
                <w:szCs w:val="20"/>
              </w:rPr>
              <w:t xml:space="preserve"> </w:t>
            </w:r>
            <w:r w:rsidRPr="00861363">
              <w:rPr>
                <w:sz w:val="20"/>
                <w:szCs w:val="20"/>
              </w:rPr>
              <w:t>during</w:t>
            </w:r>
            <w:r w:rsidRPr="00861363">
              <w:rPr>
                <w:spacing w:val="-10"/>
                <w:sz w:val="20"/>
                <w:szCs w:val="20"/>
              </w:rPr>
              <w:t xml:space="preserve"> </w:t>
            </w:r>
            <w:r w:rsidRPr="00861363">
              <w:rPr>
                <w:spacing w:val="-1"/>
                <w:sz w:val="20"/>
                <w:szCs w:val="20"/>
              </w:rPr>
              <w:t>the</w:t>
            </w:r>
            <w:r w:rsidRPr="00861363">
              <w:rPr>
                <w:spacing w:val="-5"/>
                <w:sz w:val="20"/>
                <w:szCs w:val="20"/>
              </w:rPr>
              <w:t xml:space="preserve"> </w:t>
            </w:r>
            <w:r w:rsidRPr="00861363">
              <w:rPr>
                <w:sz w:val="20"/>
                <w:szCs w:val="20"/>
              </w:rPr>
              <w:t>Baseline</w:t>
            </w:r>
            <w:r w:rsidRPr="00861363">
              <w:rPr>
                <w:spacing w:val="-9"/>
                <w:sz w:val="20"/>
                <w:szCs w:val="20"/>
              </w:rPr>
              <w:t xml:space="preserve"> </w:t>
            </w:r>
            <w:r w:rsidRPr="00861363">
              <w:rPr>
                <w:spacing w:val="-1"/>
                <w:sz w:val="20"/>
                <w:szCs w:val="20"/>
              </w:rPr>
              <w:t>Assessment</w:t>
            </w:r>
            <w:r w:rsidRPr="00861363">
              <w:rPr>
                <w:spacing w:val="-7"/>
                <w:sz w:val="20"/>
                <w:szCs w:val="20"/>
              </w:rPr>
              <w:t xml:space="preserve"> </w:t>
            </w:r>
            <w:r w:rsidRPr="00861363">
              <w:rPr>
                <w:sz w:val="20"/>
                <w:szCs w:val="20"/>
              </w:rPr>
              <w:t>of</w:t>
            </w:r>
            <w:r w:rsidRPr="00861363">
              <w:rPr>
                <w:spacing w:val="-5"/>
                <w:sz w:val="20"/>
                <w:szCs w:val="20"/>
              </w:rPr>
              <w:t xml:space="preserve"> </w:t>
            </w:r>
            <w:r w:rsidRPr="00861363">
              <w:rPr>
                <w:spacing w:val="-1"/>
                <w:sz w:val="20"/>
                <w:szCs w:val="20"/>
              </w:rPr>
              <w:t>Mortality</w:t>
            </w:r>
            <w:r w:rsidRPr="00861363">
              <w:rPr>
                <w:spacing w:val="-12"/>
                <w:sz w:val="20"/>
                <w:szCs w:val="20"/>
              </w:rPr>
              <w:t xml:space="preserve"> </w:t>
            </w:r>
            <w:r w:rsidRPr="00861363">
              <w:rPr>
                <w:spacing w:val="-1"/>
                <w:sz w:val="20"/>
                <w:szCs w:val="20"/>
              </w:rPr>
              <w:t>Surveillance</w:t>
            </w:r>
            <w:r w:rsidRPr="00861363">
              <w:rPr>
                <w:spacing w:val="81"/>
                <w:w w:val="99"/>
                <w:sz w:val="20"/>
                <w:szCs w:val="20"/>
              </w:rPr>
              <w:t xml:space="preserve"> </w:t>
            </w:r>
            <w:r w:rsidRPr="00861363">
              <w:rPr>
                <w:spacing w:val="-1"/>
                <w:sz w:val="20"/>
                <w:szCs w:val="20"/>
              </w:rPr>
              <w:t>Systems,</w:t>
            </w:r>
            <w:r w:rsidRPr="00861363">
              <w:rPr>
                <w:spacing w:val="-8"/>
                <w:sz w:val="20"/>
                <w:szCs w:val="20"/>
              </w:rPr>
              <w:t xml:space="preserve"> </w:t>
            </w:r>
            <w:r w:rsidRPr="00861363">
              <w:rPr>
                <w:sz w:val="20"/>
                <w:szCs w:val="20"/>
              </w:rPr>
              <w:t>Zambia</w:t>
            </w:r>
            <w:r w:rsidRPr="00861363">
              <w:rPr>
                <w:spacing w:val="-9"/>
                <w:sz w:val="20"/>
                <w:szCs w:val="20"/>
              </w:rPr>
              <w:t xml:space="preserve"> </w:t>
            </w:r>
            <w:r w:rsidRPr="00861363">
              <w:rPr>
                <w:sz w:val="20"/>
                <w:szCs w:val="20"/>
              </w:rPr>
              <w:t>2023</w:t>
            </w:r>
          </w:p>
        </w:tc>
      </w:tr>
      <w:tr w:rsidR="00802BE5" w:rsidRPr="00861363" w14:paraId="2E317A60" w14:textId="77777777" w:rsidTr="687947B3">
        <w:trPr>
          <w:trHeight w:hRule="exact" w:val="463"/>
        </w:trPr>
        <w:tc>
          <w:tcPr>
            <w:tcW w:w="1782"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484C7887" w14:textId="77777777" w:rsidR="00802BE5" w:rsidRPr="00861363" w:rsidRDefault="00802BE5" w:rsidP="00861363">
            <w:pPr>
              <w:pStyle w:val="TableParagraph"/>
              <w:ind w:left="98"/>
              <w:rPr>
                <w:rFonts w:eastAsia="Times New Roman" w:cs="Times New Roman"/>
                <w:sz w:val="20"/>
                <w:szCs w:val="20"/>
              </w:rPr>
            </w:pPr>
            <w:r w:rsidRPr="00861363">
              <w:rPr>
                <w:b/>
                <w:spacing w:val="-1"/>
                <w:sz w:val="20"/>
                <w:szCs w:val="20"/>
              </w:rPr>
              <w:t>Institution</w:t>
            </w:r>
          </w:p>
        </w:tc>
        <w:tc>
          <w:tcPr>
            <w:tcW w:w="1724"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38B8BBF1" w14:textId="77777777" w:rsidR="00802BE5" w:rsidRPr="00861363" w:rsidRDefault="00802BE5" w:rsidP="00861363">
            <w:pPr>
              <w:pStyle w:val="TableParagraph"/>
              <w:ind w:left="96"/>
              <w:rPr>
                <w:rFonts w:eastAsia="Times New Roman" w:cs="Times New Roman"/>
                <w:sz w:val="20"/>
                <w:szCs w:val="20"/>
              </w:rPr>
            </w:pPr>
            <w:r w:rsidRPr="00861363">
              <w:rPr>
                <w:b/>
                <w:spacing w:val="-1"/>
                <w:sz w:val="20"/>
                <w:szCs w:val="20"/>
              </w:rPr>
              <w:t>National</w:t>
            </w:r>
            <w:r w:rsidRPr="00861363">
              <w:rPr>
                <w:b/>
                <w:spacing w:val="-17"/>
                <w:sz w:val="20"/>
                <w:szCs w:val="20"/>
              </w:rPr>
              <w:t xml:space="preserve"> </w:t>
            </w:r>
            <w:r w:rsidRPr="00861363">
              <w:rPr>
                <w:b/>
                <w:sz w:val="20"/>
                <w:szCs w:val="20"/>
              </w:rPr>
              <w:t>Level</w:t>
            </w:r>
          </w:p>
        </w:tc>
        <w:tc>
          <w:tcPr>
            <w:tcW w:w="1862"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220EF1C8" w14:textId="77777777" w:rsidR="00802BE5" w:rsidRPr="00861363" w:rsidRDefault="00802BE5" w:rsidP="00861363">
            <w:pPr>
              <w:pStyle w:val="TableParagraph"/>
              <w:ind w:left="98" w:right="685"/>
              <w:rPr>
                <w:rFonts w:eastAsia="Times New Roman" w:cs="Times New Roman"/>
                <w:sz w:val="20"/>
                <w:szCs w:val="20"/>
              </w:rPr>
            </w:pPr>
            <w:r w:rsidRPr="00861363">
              <w:rPr>
                <w:b/>
                <w:w w:val="95"/>
                <w:sz w:val="20"/>
                <w:szCs w:val="20"/>
              </w:rPr>
              <w:t>Provincial</w:t>
            </w:r>
            <w:r w:rsidRPr="00861363">
              <w:rPr>
                <w:b/>
                <w:w w:val="99"/>
                <w:sz w:val="20"/>
                <w:szCs w:val="20"/>
              </w:rPr>
              <w:t xml:space="preserve"> </w:t>
            </w:r>
            <w:r w:rsidRPr="00861363">
              <w:rPr>
                <w:b/>
                <w:sz w:val="20"/>
                <w:szCs w:val="20"/>
              </w:rPr>
              <w:t>Level</w:t>
            </w:r>
          </w:p>
        </w:tc>
        <w:tc>
          <w:tcPr>
            <w:tcW w:w="1861"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325E4858" w14:textId="77777777" w:rsidR="00802BE5" w:rsidRPr="00861363" w:rsidRDefault="00802BE5" w:rsidP="00861363">
            <w:pPr>
              <w:pStyle w:val="TableParagraph"/>
              <w:ind w:left="97"/>
              <w:rPr>
                <w:rFonts w:eastAsia="Times New Roman" w:cs="Times New Roman"/>
                <w:sz w:val="20"/>
                <w:szCs w:val="20"/>
              </w:rPr>
            </w:pPr>
            <w:r w:rsidRPr="00861363">
              <w:rPr>
                <w:b/>
                <w:spacing w:val="-1"/>
                <w:sz w:val="20"/>
                <w:szCs w:val="20"/>
              </w:rPr>
              <w:t>District</w:t>
            </w:r>
            <w:r w:rsidRPr="00861363">
              <w:rPr>
                <w:b/>
                <w:spacing w:val="-14"/>
                <w:sz w:val="20"/>
                <w:szCs w:val="20"/>
              </w:rPr>
              <w:t xml:space="preserve"> </w:t>
            </w:r>
            <w:r w:rsidRPr="00861363">
              <w:rPr>
                <w:b/>
                <w:sz w:val="20"/>
                <w:szCs w:val="20"/>
              </w:rPr>
              <w:t>Level</w:t>
            </w:r>
          </w:p>
        </w:tc>
        <w:tc>
          <w:tcPr>
            <w:tcW w:w="2181"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660A24C5" w14:textId="77777777" w:rsidR="00802BE5" w:rsidRPr="00861363" w:rsidRDefault="00802BE5" w:rsidP="00861363">
            <w:pPr>
              <w:pStyle w:val="TableParagraph"/>
              <w:ind w:left="96"/>
              <w:rPr>
                <w:rFonts w:eastAsia="Times New Roman" w:cs="Times New Roman"/>
                <w:sz w:val="20"/>
                <w:szCs w:val="20"/>
              </w:rPr>
            </w:pPr>
            <w:r w:rsidRPr="00861363">
              <w:rPr>
                <w:b/>
                <w:sz w:val="20"/>
                <w:szCs w:val="20"/>
              </w:rPr>
              <w:t>Health</w:t>
            </w:r>
            <w:r w:rsidRPr="00861363">
              <w:rPr>
                <w:b/>
                <w:spacing w:val="-18"/>
                <w:sz w:val="20"/>
                <w:szCs w:val="20"/>
              </w:rPr>
              <w:t xml:space="preserve"> </w:t>
            </w:r>
            <w:r w:rsidRPr="00861363">
              <w:rPr>
                <w:b/>
                <w:sz w:val="20"/>
                <w:szCs w:val="20"/>
              </w:rPr>
              <w:t>Facility</w:t>
            </w:r>
          </w:p>
        </w:tc>
      </w:tr>
      <w:tr w:rsidR="00802BE5" w:rsidRPr="00861363" w14:paraId="36BF2CD6" w14:textId="77777777" w:rsidTr="687947B3">
        <w:trPr>
          <w:trHeight w:hRule="exact" w:val="8185"/>
        </w:trPr>
        <w:tc>
          <w:tcPr>
            <w:tcW w:w="1782"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3B30826D" w14:textId="77777777" w:rsidR="00802BE5" w:rsidRPr="00861363" w:rsidRDefault="00802BE5" w:rsidP="004074DB">
            <w:pPr>
              <w:pStyle w:val="TableParagraph"/>
              <w:spacing w:before="92"/>
              <w:ind w:left="99"/>
              <w:rPr>
                <w:rFonts w:eastAsia="Times New Roman" w:cs="Times New Roman"/>
                <w:sz w:val="20"/>
                <w:szCs w:val="20"/>
              </w:rPr>
            </w:pPr>
            <w:r w:rsidRPr="00861363">
              <w:rPr>
                <w:spacing w:val="-1"/>
                <w:sz w:val="20"/>
                <w:szCs w:val="20"/>
              </w:rPr>
              <w:t>Ministry</w:t>
            </w:r>
            <w:r w:rsidRPr="00861363">
              <w:rPr>
                <w:spacing w:val="-12"/>
                <w:sz w:val="20"/>
                <w:szCs w:val="20"/>
              </w:rPr>
              <w:t xml:space="preserve"> </w:t>
            </w:r>
            <w:r w:rsidRPr="00861363">
              <w:rPr>
                <w:sz w:val="20"/>
                <w:szCs w:val="20"/>
              </w:rPr>
              <w:t>of</w:t>
            </w:r>
            <w:r w:rsidRPr="00861363">
              <w:rPr>
                <w:spacing w:val="-9"/>
                <w:sz w:val="20"/>
                <w:szCs w:val="20"/>
              </w:rPr>
              <w:t xml:space="preserve"> </w:t>
            </w:r>
            <w:r w:rsidRPr="00861363">
              <w:rPr>
                <w:spacing w:val="-1"/>
                <w:sz w:val="20"/>
                <w:szCs w:val="20"/>
              </w:rPr>
              <w:t>Health</w:t>
            </w:r>
          </w:p>
        </w:tc>
        <w:tc>
          <w:tcPr>
            <w:tcW w:w="1724"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4F08695C" w14:textId="77777777" w:rsidR="00802BE5" w:rsidRPr="00861363" w:rsidRDefault="00802BE5" w:rsidP="004074DB">
            <w:pPr>
              <w:pStyle w:val="TableParagraph"/>
              <w:spacing w:before="93" w:line="360" w:lineRule="auto"/>
              <w:ind w:left="97" w:right="90"/>
              <w:rPr>
                <w:rFonts w:eastAsia="Times New Roman" w:cs="Times New Roman"/>
                <w:sz w:val="20"/>
                <w:szCs w:val="20"/>
              </w:rPr>
            </w:pPr>
            <w:r w:rsidRPr="00861363">
              <w:rPr>
                <w:spacing w:val="-1"/>
                <w:sz w:val="20"/>
                <w:szCs w:val="20"/>
              </w:rPr>
              <w:t>Director</w:t>
            </w:r>
            <w:r w:rsidRPr="00861363">
              <w:rPr>
                <w:spacing w:val="-14"/>
                <w:sz w:val="20"/>
                <w:szCs w:val="20"/>
              </w:rPr>
              <w:t xml:space="preserve"> </w:t>
            </w:r>
            <w:r w:rsidRPr="00861363">
              <w:rPr>
                <w:spacing w:val="-1"/>
                <w:sz w:val="20"/>
                <w:szCs w:val="20"/>
              </w:rPr>
              <w:t>(Public</w:t>
            </w:r>
            <w:r w:rsidRPr="00861363">
              <w:rPr>
                <w:spacing w:val="28"/>
                <w:w w:val="99"/>
                <w:sz w:val="20"/>
                <w:szCs w:val="20"/>
              </w:rPr>
              <w:t xml:space="preserve"> </w:t>
            </w:r>
            <w:r w:rsidRPr="00861363">
              <w:rPr>
                <w:sz w:val="20"/>
                <w:szCs w:val="20"/>
              </w:rPr>
              <w:t>health,</w:t>
            </w:r>
            <w:r w:rsidRPr="00861363">
              <w:rPr>
                <w:spacing w:val="-14"/>
                <w:sz w:val="20"/>
                <w:szCs w:val="20"/>
              </w:rPr>
              <w:t xml:space="preserve"> </w:t>
            </w:r>
            <w:r w:rsidRPr="00861363">
              <w:rPr>
                <w:sz w:val="20"/>
                <w:szCs w:val="20"/>
              </w:rPr>
              <w:t>Clinical</w:t>
            </w:r>
            <w:r w:rsidRPr="00861363">
              <w:rPr>
                <w:w w:val="99"/>
                <w:sz w:val="20"/>
                <w:szCs w:val="20"/>
              </w:rPr>
              <w:t xml:space="preserve"> </w:t>
            </w:r>
            <w:r w:rsidRPr="00861363">
              <w:rPr>
                <w:spacing w:val="-1"/>
                <w:sz w:val="20"/>
                <w:szCs w:val="20"/>
              </w:rPr>
              <w:t>care,</w:t>
            </w:r>
            <w:r w:rsidRPr="00861363">
              <w:rPr>
                <w:spacing w:val="-12"/>
                <w:sz w:val="20"/>
                <w:szCs w:val="20"/>
              </w:rPr>
              <w:t xml:space="preserve"> </w:t>
            </w:r>
            <w:r w:rsidRPr="00861363">
              <w:rPr>
                <w:sz w:val="20"/>
                <w:szCs w:val="20"/>
              </w:rPr>
              <w:t>M&amp;E),</w:t>
            </w:r>
            <w:r w:rsidRPr="00861363">
              <w:rPr>
                <w:spacing w:val="24"/>
                <w:w w:val="99"/>
                <w:sz w:val="20"/>
                <w:szCs w:val="20"/>
              </w:rPr>
              <w:t xml:space="preserve"> </w:t>
            </w:r>
            <w:r w:rsidRPr="00861363">
              <w:rPr>
                <w:spacing w:val="-1"/>
                <w:sz w:val="20"/>
                <w:szCs w:val="20"/>
              </w:rPr>
              <w:t>Program</w:t>
            </w:r>
            <w:r w:rsidRPr="00861363">
              <w:rPr>
                <w:spacing w:val="25"/>
                <w:w w:val="99"/>
                <w:sz w:val="20"/>
                <w:szCs w:val="20"/>
              </w:rPr>
              <w:t xml:space="preserve"> </w:t>
            </w:r>
            <w:r w:rsidRPr="00861363">
              <w:rPr>
                <w:spacing w:val="-1"/>
                <w:sz w:val="20"/>
                <w:szCs w:val="20"/>
              </w:rPr>
              <w:t>Managers</w:t>
            </w:r>
            <w:r w:rsidRPr="00861363">
              <w:rPr>
                <w:spacing w:val="-15"/>
                <w:sz w:val="20"/>
                <w:szCs w:val="20"/>
              </w:rPr>
              <w:t xml:space="preserve"> </w:t>
            </w:r>
            <w:r w:rsidRPr="00861363">
              <w:rPr>
                <w:spacing w:val="-1"/>
                <w:sz w:val="20"/>
                <w:szCs w:val="20"/>
              </w:rPr>
              <w:t>(HIV,</w:t>
            </w:r>
            <w:r w:rsidRPr="00861363">
              <w:rPr>
                <w:spacing w:val="20"/>
                <w:w w:val="99"/>
                <w:sz w:val="20"/>
                <w:szCs w:val="20"/>
              </w:rPr>
              <w:t xml:space="preserve"> </w:t>
            </w:r>
            <w:r w:rsidRPr="00861363">
              <w:rPr>
                <w:spacing w:val="-1"/>
                <w:sz w:val="20"/>
                <w:szCs w:val="20"/>
              </w:rPr>
              <w:t>Malaria,</w:t>
            </w:r>
            <w:r w:rsidRPr="00861363">
              <w:rPr>
                <w:spacing w:val="-15"/>
                <w:sz w:val="20"/>
                <w:szCs w:val="20"/>
              </w:rPr>
              <w:t xml:space="preserve"> </w:t>
            </w:r>
            <w:r w:rsidRPr="00861363">
              <w:rPr>
                <w:spacing w:val="-1"/>
                <w:sz w:val="20"/>
                <w:szCs w:val="20"/>
              </w:rPr>
              <w:t>Vaccine</w:t>
            </w:r>
            <w:r w:rsidRPr="00861363">
              <w:rPr>
                <w:spacing w:val="28"/>
                <w:w w:val="99"/>
                <w:sz w:val="20"/>
                <w:szCs w:val="20"/>
              </w:rPr>
              <w:t xml:space="preserve"> </w:t>
            </w:r>
            <w:r w:rsidRPr="00861363">
              <w:rPr>
                <w:spacing w:val="-1"/>
                <w:sz w:val="20"/>
                <w:szCs w:val="20"/>
              </w:rPr>
              <w:t>Preventable</w:t>
            </w:r>
            <w:r w:rsidRPr="00861363">
              <w:rPr>
                <w:spacing w:val="28"/>
                <w:w w:val="99"/>
                <w:sz w:val="20"/>
                <w:szCs w:val="20"/>
              </w:rPr>
              <w:t xml:space="preserve"> </w:t>
            </w:r>
            <w:r w:rsidRPr="00861363">
              <w:rPr>
                <w:spacing w:val="-1"/>
                <w:sz w:val="20"/>
                <w:szCs w:val="20"/>
              </w:rPr>
              <w:t>Disease</w:t>
            </w:r>
            <w:r w:rsidRPr="00861363">
              <w:rPr>
                <w:spacing w:val="-14"/>
                <w:sz w:val="20"/>
                <w:szCs w:val="20"/>
              </w:rPr>
              <w:t xml:space="preserve"> </w:t>
            </w:r>
            <w:r w:rsidRPr="00861363">
              <w:rPr>
                <w:spacing w:val="-1"/>
                <w:sz w:val="20"/>
                <w:szCs w:val="20"/>
              </w:rPr>
              <w:t>(VPD),</w:t>
            </w:r>
            <w:r w:rsidRPr="00861363">
              <w:rPr>
                <w:spacing w:val="25"/>
                <w:w w:val="99"/>
                <w:sz w:val="20"/>
                <w:szCs w:val="20"/>
              </w:rPr>
              <w:t xml:space="preserve"> </w:t>
            </w:r>
            <w:r w:rsidRPr="00861363">
              <w:rPr>
                <w:sz w:val="20"/>
                <w:szCs w:val="20"/>
              </w:rPr>
              <w:t>Integrated</w:t>
            </w:r>
            <w:r w:rsidRPr="00861363">
              <w:rPr>
                <w:w w:val="99"/>
                <w:sz w:val="20"/>
                <w:szCs w:val="20"/>
              </w:rPr>
              <w:t xml:space="preserve"> </w:t>
            </w:r>
            <w:r w:rsidRPr="00861363">
              <w:rPr>
                <w:spacing w:val="-1"/>
                <w:sz w:val="20"/>
                <w:szCs w:val="20"/>
              </w:rPr>
              <w:t>Disease</w:t>
            </w:r>
            <w:r w:rsidRPr="00861363">
              <w:rPr>
                <w:spacing w:val="20"/>
                <w:w w:val="99"/>
                <w:sz w:val="20"/>
                <w:szCs w:val="20"/>
              </w:rPr>
              <w:t xml:space="preserve"> </w:t>
            </w:r>
            <w:r w:rsidRPr="00861363">
              <w:rPr>
                <w:spacing w:val="-1"/>
                <w:sz w:val="20"/>
                <w:szCs w:val="20"/>
              </w:rPr>
              <w:t>Surveillance</w:t>
            </w:r>
            <w:r w:rsidRPr="00861363">
              <w:rPr>
                <w:spacing w:val="-16"/>
                <w:sz w:val="20"/>
                <w:szCs w:val="20"/>
              </w:rPr>
              <w:t xml:space="preserve"> </w:t>
            </w:r>
            <w:r w:rsidRPr="00861363">
              <w:rPr>
                <w:sz w:val="20"/>
                <w:szCs w:val="20"/>
              </w:rPr>
              <w:t>and</w:t>
            </w:r>
            <w:r w:rsidRPr="00861363">
              <w:rPr>
                <w:spacing w:val="22"/>
                <w:w w:val="99"/>
                <w:sz w:val="20"/>
                <w:szCs w:val="20"/>
              </w:rPr>
              <w:t xml:space="preserve"> </w:t>
            </w:r>
            <w:r w:rsidRPr="00861363">
              <w:rPr>
                <w:spacing w:val="-1"/>
                <w:sz w:val="20"/>
                <w:szCs w:val="20"/>
              </w:rPr>
              <w:t>Response,</w:t>
            </w:r>
            <w:r w:rsidRPr="00861363">
              <w:rPr>
                <w:spacing w:val="25"/>
                <w:w w:val="99"/>
                <w:sz w:val="20"/>
                <w:szCs w:val="20"/>
              </w:rPr>
              <w:t xml:space="preserve"> </w:t>
            </w:r>
            <w:r w:rsidRPr="00861363">
              <w:rPr>
                <w:spacing w:val="-1"/>
                <w:sz w:val="20"/>
                <w:szCs w:val="20"/>
              </w:rPr>
              <w:t>Maternal</w:t>
            </w:r>
            <w:r w:rsidRPr="00861363">
              <w:rPr>
                <w:spacing w:val="-12"/>
                <w:sz w:val="20"/>
                <w:szCs w:val="20"/>
              </w:rPr>
              <w:t xml:space="preserve"> </w:t>
            </w:r>
            <w:r w:rsidRPr="00861363">
              <w:rPr>
                <w:sz w:val="20"/>
                <w:szCs w:val="20"/>
              </w:rPr>
              <w:t>and</w:t>
            </w:r>
            <w:r w:rsidRPr="00861363">
              <w:rPr>
                <w:spacing w:val="22"/>
                <w:w w:val="99"/>
                <w:sz w:val="20"/>
                <w:szCs w:val="20"/>
              </w:rPr>
              <w:t xml:space="preserve"> </w:t>
            </w:r>
            <w:r w:rsidRPr="00861363">
              <w:rPr>
                <w:spacing w:val="-1"/>
                <w:sz w:val="20"/>
                <w:szCs w:val="20"/>
              </w:rPr>
              <w:t>Perinatal</w:t>
            </w:r>
            <w:r w:rsidRPr="00861363">
              <w:rPr>
                <w:spacing w:val="-15"/>
                <w:sz w:val="20"/>
                <w:szCs w:val="20"/>
              </w:rPr>
              <w:t xml:space="preserve"> </w:t>
            </w:r>
            <w:r w:rsidRPr="00861363">
              <w:rPr>
                <w:spacing w:val="-1"/>
                <w:sz w:val="20"/>
                <w:szCs w:val="20"/>
              </w:rPr>
              <w:t>Death</w:t>
            </w:r>
            <w:r w:rsidRPr="00861363">
              <w:rPr>
                <w:spacing w:val="29"/>
                <w:w w:val="99"/>
                <w:sz w:val="20"/>
                <w:szCs w:val="20"/>
              </w:rPr>
              <w:t xml:space="preserve"> </w:t>
            </w:r>
            <w:r w:rsidRPr="00861363">
              <w:rPr>
                <w:spacing w:val="-1"/>
                <w:sz w:val="20"/>
                <w:szCs w:val="20"/>
              </w:rPr>
              <w:t>Surveillance</w:t>
            </w:r>
            <w:r w:rsidRPr="00861363">
              <w:rPr>
                <w:spacing w:val="-16"/>
                <w:sz w:val="20"/>
                <w:szCs w:val="20"/>
              </w:rPr>
              <w:t xml:space="preserve"> </w:t>
            </w:r>
            <w:r w:rsidRPr="00861363">
              <w:rPr>
                <w:sz w:val="20"/>
                <w:szCs w:val="20"/>
              </w:rPr>
              <w:t>and</w:t>
            </w:r>
            <w:r w:rsidRPr="00861363">
              <w:rPr>
                <w:spacing w:val="22"/>
                <w:w w:val="99"/>
                <w:sz w:val="20"/>
                <w:szCs w:val="20"/>
              </w:rPr>
              <w:t xml:space="preserve"> </w:t>
            </w:r>
            <w:r w:rsidRPr="00861363">
              <w:rPr>
                <w:spacing w:val="-1"/>
                <w:sz w:val="20"/>
                <w:szCs w:val="20"/>
              </w:rPr>
              <w:t>Response</w:t>
            </w:r>
            <w:r w:rsidRPr="00861363">
              <w:rPr>
                <w:spacing w:val="25"/>
                <w:w w:val="99"/>
                <w:sz w:val="20"/>
                <w:szCs w:val="20"/>
              </w:rPr>
              <w:t xml:space="preserve"> </w:t>
            </w:r>
            <w:r w:rsidRPr="00861363">
              <w:rPr>
                <w:sz w:val="20"/>
                <w:szCs w:val="20"/>
              </w:rPr>
              <w:t>program</w:t>
            </w:r>
            <w:r w:rsidRPr="00861363">
              <w:rPr>
                <w:w w:val="99"/>
                <w:sz w:val="20"/>
                <w:szCs w:val="20"/>
              </w:rPr>
              <w:t xml:space="preserve"> </w:t>
            </w:r>
            <w:r w:rsidRPr="00861363">
              <w:rPr>
                <w:spacing w:val="-1"/>
                <w:sz w:val="20"/>
                <w:szCs w:val="20"/>
              </w:rPr>
              <w:t>managers,</w:t>
            </w:r>
            <w:r w:rsidRPr="00861363">
              <w:rPr>
                <w:spacing w:val="28"/>
                <w:w w:val="99"/>
                <w:sz w:val="20"/>
                <w:szCs w:val="20"/>
              </w:rPr>
              <w:t xml:space="preserve"> </w:t>
            </w:r>
            <w:r w:rsidRPr="00861363">
              <w:rPr>
                <w:spacing w:val="-1"/>
                <w:sz w:val="20"/>
                <w:szCs w:val="20"/>
              </w:rPr>
              <w:t>Monitoring</w:t>
            </w:r>
            <w:r w:rsidRPr="00861363">
              <w:rPr>
                <w:spacing w:val="-15"/>
                <w:sz w:val="20"/>
                <w:szCs w:val="20"/>
              </w:rPr>
              <w:t xml:space="preserve"> </w:t>
            </w:r>
            <w:r w:rsidRPr="00861363">
              <w:rPr>
                <w:spacing w:val="-1"/>
                <w:sz w:val="20"/>
                <w:szCs w:val="20"/>
              </w:rPr>
              <w:t>and</w:t>
            </w:r>
            <w:r w:rsidRPr="00861363">
              <w:rPr>
                <w:spacing w:val="22"/>
                <w:w w:val="99"/>
                <w:sz w:val="20"/>
                <w:szCs w:val="20"/>
              </w:rPr>
              <w:t xml:space="preserve"> </w:t>
            </w:r>
            <w:r w:rsidRPr="00861363">
              <w:rPr>
                <w:sz w:val="20"/>
                <w:szCs w:val="20"/>
              </w:rPr>
              <w:t>Evaluation</w:t>
            </w:r>
            <w:r w:rsidRPr="00861363">
              <w:rPr>
                <w:w w:val="99"/>
                <w:sz w:val="20"/>
                <w:szCs w:val="20"/>
              </w:rPr>
              <w:t xml:space="preserve"> </w:t>
            </w:r>
            <w:r w:rsidRPr="00861363">
              <w:rPr>
                <w:spacing w:val="-1"/>
                <w:sz w:val="20"/>
                <w:szCs w:val="20"/>
              </w:rPr>
              <w:t>Officers</w:t>
            </w:r>
          </w:p>
          <w:p w14:paraId="10BEDF7E" w14:textId="77777777" w:rsidR="00802BE5" w:rsidRPr="00861363" w:rsidRDefault="00802BE5" w:rsidP="004074DB">
            <w:pPr>
              <w:pStyle w:val="TableParagraph"/>
              <w:spacing w:before="4"/>
              <w:ind w:left="97"/>
              <w:rPr>
                <w:rFonts w:eastAsia="Times New Roman" w:cs="Times New Roman"/>
                <w:sz w:val="20"/>
                <w:szCs w:val="20"/>
              </w:rPr>
            </w:pPr>
            <w:r w:rsidRPr="00861363">
              <w:rPr>
                <w:sz w:val="20"/>
                <w:szCs w:val="20"/>
              </w:rPr>
              <w:t>ICT</w:t>
            </w:r>
            <w:r w:rsidRPr="00861363">
              <w:rPr>
                <w:spacing w:val="-12"/>
                <w:sz w:val="20"/>
                <w:szCs w:val="20"/>
              </w:rPr>
              <w:t xml:space="preserve"> </w:t>
            </w:r>
            <w:r w:rsidRPr="00861363">
              <w:rPr>
                <w:sz w:val="20"/>
                <w:szCs w:val="20"/>
              </w:rPr>
              <w:t>officers</w:t>
            </w:r>
          </w:p>
        </w:tc>
        <w:tc>
          <w:tcPr>
            <w:tcW w:w="1862"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05909BED" w14:textId="77777777" w:rsidR="00802BE5" w:rsidRPr="00861363" w:rsidRDefault="00802BE5" w:rsidP="004074DB">
            <w:pPr>
              <w:pStyle w:val="TableParagraph"/>
              <w:spacing w:before="93" w:line="359" w:lineRule="auto"/>
              <w:ind w:left="98" w:right="86"/>
              <w:rPr>
                <w:rFonts w:eastAsia="Times New Roman" w:cs="Times New Roman"/>
                <w:sz w:val="20"/>
                <w:szCs w:val="20"/>
              </w:rPr>
            </w:pPr>
            <w:r w:rsidRPr="00861363">
              <w:rPr>
                <w:spacing w:val="-1"/>
                <w:sz w:val="20"/>
                <w:szCs w:val="20"/>
              </w:rPr>
              <w:t>Provincial</w:t>
            </w:r>
            <w:r w:rsidRPr="00861363">
              <w:rPr>
                <w:spacing w:val="28"/>
                <w:w w:val="99"/>
                <w:sz w:val="20"/>
                <w:szCs w:val="20"/>
              </w:rPr>
              <w:t xml:space="preserve"> </w:t>
            </w:r>
            <w:r w:rsidRPr="00861363">
              <w:rPr>
                <w:sz w:val="20"/>
                <w:szCs w:val="20"/>
              </w:rPr>
              <w:t>directors</w:t>
            </w:r>
            <w:r w:rsidRPr="00861363">
              <w:rPr>
                <w:spacing w:val="-8"/>
                <w:sz w:val="20"/>
                <w:szCs w:val="20"/>
              </w:rPr>
              <w:t xml:space="preserve"> </w:t>
            </w:r>
            <w:r w:rsidRPr="00861363">
              <w:rPr>
                <w:sz w:val="20"/>
                <w:szCs w:val="20"/>
              </w:rPr>
              <w:t>of</w:t>
            </w:r>
            <w:r w:rsidRPr="00861363">
              <w:rPr>
                <w:spacing w:val="-9"/>
                <w:sz w:val="20"/>
                <w:szCs w:val="20"/>
              </w:rPr>
              <w:t xml:space="preserve"> </w:t>
            </w:r>
            <w:r w:rsidRPr="00861363">
              <w:rPr>
                <w:spacing w:val="-1"/>
                <w:sz w:val="20"/>
                <w:szCs w:val="20"/>
              </w:rPr>
              <w:t>health,</w:t>
            </w:r>
            <w:r w:rsidRPr="00861363">
              <w:rPr>
                <w:spacing w:val="26"/>
                <w:w w:val="99"/>
                <w:sz w:val="20"/>
                <w:szCs w:val="20"/>
              </w:rPr>
              <w:t xml:space="preserve"> </w:t>
            </w:r>
            <w:r w:rsidRPr="00861363">
              <w:rPr>
                <w:spacing w:val="-1"/>
                <w:sz w:val="20"/>
                <w:szCs w:val="20"/>
              </w:rPr>
              <w:t>Program</w:t>
            </w:r>
            <w:r w:rsidRPr="00861363">
              <w:rPr>
                <w:spacing w:val="-16"/>
                <w:sz w:val="20"/>
                <w:szCs w:val="20"/>
              </w:rPr>
              <w:t xml:space="preserve"> </w:t>
            </w:r>
            <w:r w:rsidRPr="00861363">
              <w:rPr>
                <w:spacing w:val="-1"/>
                <w:sz w:val="20"/>
                <w:szCs w:val="20"/>
              </w:rPr>
              <w:t>Officers</w:t>
            </w:r>
            <w:r w:rsidRPr="00861363">
              <w:rPr>
                <w:spacing w:val="23"/>
                <w:w w:val="99"/>
                <w:sz w:val="20"/>
                <w:szCs w:val="20"/>
              </w:rPr>
              <w:t xml:space="preserve"> </w:t>
            </w:r>
            <w:r w:rsidRPr="00861363">
              <w:rPr>
                <w:sz w:val="20"/>
                <w:szCs w:val="20"/>
              </w:rPr>
              <w:t>(i.e.</w:t>
            </w:r>
            <w:r w:rsidRPr="00861363">
              <w:rPr>
                <w:spacing w:val="-11"/>
                <w:sz w:val="20"/>
                <w:szCs w:val="20"/>
              </w:rPr>
              <w:t xml:space="preserve"> </w:t>
            </w:r>
            <w:r w:rsidRPr="00861363">
              <w:rPr>
                <w:spacing w:val="-1"/>
                <w:sz w:val="20"/>
                <w:szCs w:val="20"/>
              </w:rPr>
              <w:t>HIV,</w:t>
            </w:r>
            <w:r w:rsidRPr="00861363">
              <w:rPr>
                <w:spacing w:val="-8"/>
                <w:sz w:val="20"/>
                <w:szCs w:val="20"/>
              </w:rPr>
              <w:t xml:space="preserve"> </w:t>
            </w:r>
            <w:r w:rsidRPr="00861363">
              <w:rPr>
                <w:spacing w:val="-1"/>
                <w:sz w:val="20"/>
                <w:szCs w:val="20"/>
              </w:rPr>
              <w:t>MPDSR</w:t>
            </w:r>
          </w:p>
          <w:p w14:paraId="17BA7A96" w14:textId="77777777" w:rsidR="00802BE5" w:rsidRPr="00861363" w:rsidRDefault="00802BE5" w:rsidP="004074DB">
            <w:pPr>
              <w:pStyle w:val="TableParagraph"/>
              <w:spacing w:before="4" w:line="359" w:lineRule="auto"/>
              <w:ind w:left="98" w:right="1154"/>
              <w:rPr>
                <w:rFonts w:eastAsia="Times New Roman" w:cs="Times New Roman"/>
                <w:sz w:val="20"/>
                <w:szCs w:val="20"/>
              </w:rPr>
            </w:pPr>
            <w:r w:rsidRPr="00861363">
              <w:rPr>
                <w:sz w:val="20"/>
                <w:szCs w:val="20"/>
              </w:rPr>
              <w:t>etc.</w:t>
            </w:r>
            <w:r w:rsidRPr="00861363">
              <w:rPr>
                <w:w w:val="99"/>
                <w:sz w:val="20"/>
                <w:szCs w:val="20"/>
              </w:rPr>
              <w:t xml:space="preserve"> </w:t>
            </w:r>
            <w:r w:rsidRPr="00861363">
              <w:rPr>
                <w:spacing w:val="-1"/>
                <w:sz w:val="20"/>
                <w:szCs w:val="20"/>
              </w:rPr>
              <w:t>Health</w:t>
            </w:r>
          </w:p>
          <w:p w14:paraId="67FD9BC4" w14:textId="77777777" w:rsidR="00802BE5" w:rsidRPr="00861363" w:rsidRDefault="00802BE5" w:rsidP="004074DB">
            <w:pPr>
              <w:pStyle w:val="TableParagraph"/>
              <w:spacing w:before="6" w:line="359" w:lineRule="auto"/>
              <w:ind w:left="98" w:right="640"/>
              <w:rPr>
                <w:rFonts w:eastAsia="Times New Roman" w:cs="Times New Roman"/>
                <w:sz w:val="20"/>
                <w:szCs w:val="20"/>
              </w:rPr>
            </w:pPr>
            <w:r w:rsidRPr="00861363">
              <w:rPr>
                <w:spacing w:val="-1"/>
                <w:sz w:val="20"/>
                <w:szCs w:val="20"/>
              </w:rPr>
              <w:t>Information</w:t>
            </w:r>
            <w:r w:rsidRPr="00861363">
              <w:rPr>
                <w:spacing w:val="29"/>
                <w:w w:val="99"/>
                <w:sz w:val="20"/>
                <w:szCs w:val="20"/>
              </w:rPr>
              <w:t xml:space="preserve"> </w:t>
            </w:r>
            <w:r w:rsidRPr="00861363">
              <w:rPr>
                <w:spacing w:val="-1"/>
                <w:sz w:val="20"/>
                <w:szCs w:val="20"/>
              </w:rPr>
              <w:t>Officers</w:t>
            </w:r>
            <w:r w:rsidRPr="00861363">
              <w:rPr>
                <w:spacing w:val="23"/>
                <w:w w:val="99"/>
                <w:sz w:val="20"/>
                <w:szCs w:val="20"/>
              </w:rPr>
              <w:t xml:space="preserve"> </w:t>
            </w:r>
            <w:r w:rsidRPr="00861363">
              <w:rPr>
                <w:spacing w:val="-1"/>
                <w:sz w:val="20"/>
                <w:szCs w:val="20"/>
              </w:rPr>
              <w:t>Surveillance</w:t>
            </w:r>
            <w:r w:rsidRPr="00861363">
              <w:rPr>
                <w:spacing w:val="22"/>
                <w:w w:val="99"/>
                <w:sz w:val="20"/>
                <w:szCs w:val="20"/>
              </w:rPr>
              <w:t xml:space="preserve"> </w:t>
            </w:r>
            <w:r w:rsidRPr="00861363">
              <w:rPr>
                <w:spacing w:val="-1"/>
                <w:sz w:val="20"/>
                <w:szCs w:val="20"/>
              </w:rPr>
              <w:t>Officer</w:t>
            </w:r>
          </w:p>
          <w:p w14:paraId="074D8ECA" w14:textId="77777777" w:rsidR="00802BE5" w:rsidRPr="00861363" w:rsidRDefault="00802BE5" w:rsidP="004074DB">
            <w:pPr>
              <w:pStyle w:val="TableParagraph"/>
              <w:spacing w:before="4"/>
              <w:ind w:left="98"/>
              <w:rPr>
                <w:rFonts w:eastAsia="Times New Roman" w:cs="Times New Roman"/>
                <w:sz w:val="20"/>
                <w:szCs w:val="20"/>
              </w:rPr>
            </w:pPr>
            <w:r w:rsidRPr="00861363">
              <w:rPr>
                <w:sz w:val="20"/>
                <w:szCs w:val="20"/>
              </w:rPr>
              <w:t>ICT</w:t>
            </w:r>
            <w:r w:rsidRPr="00861363">
              <w:rPr>
                <w:spacing w:val="-12"/>
                <w:sz w:val="20"/>
                <w:szCs w:val="20"/>
              </w:rPr>
              <w:t xml:space="preserve"> </w:t>
            </w:r>
            <w:r w:rsidRPr="00861363">
              <w:rPr>
                <w:sz w:val="20"/>
                <w:szCs w:val="20"/>
              </w:rPr>
              <w:t>officers</w:t>
            </w:r>
          </w:p>
        </w:tc>
        <w:tc>
          <w:tcPr>
            <w:tcW w:w="1861"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456B9407" w14:textId="77777777" w:rsidR="00802BE5" w:rsidRPr="00861363" w:rsidRDefault="00802BE5" w:rsidP="004074DB">
            <w:pPr>
              <w:pStyle w:val="TableParagraph"/>
              <w:spacing w:before="93" w:line="358" w:lineRule="auto"/>
              <w:ind w:left="97" w:right="256"/>
              <w:rPr>
                <w:rFonts w:eastAsia="Times New Roman" w:cs="Times New Roman"/>
                <w:sz w:val="20"/>
                <w:szCs w:val="20"/>
              </w:rPr>
            </w:pPr>
            <w:r w:rsidRPr="00861363">
              <w:rPr>
                <w:spacing w:val="-1"/>
                <w:sz w:val="20"/>
                <w:szCs w:val="20"/>
              </w:rPr>
              <w:t>District</w:t>
            </w:r>
            <w:r w:rsidRPr="00861363">
              <w:rPr>
                <w:spacing w:val="-15"/>
                <w:sz w:val="20"/>
                <w:szCs w:val="20"/>
              </w:rPr>
              <w:t xml:space="preserve"> </w:t>
            </w:r>
            <w:r w:rsidRPr="00861363">
              <w:rPr>
                <w:sz w:val="20"/>
                <w:szCs w:val="20"/>
              </w:rPr>
              <w:t>directors</w:t>
            </w:r>
            <w:r w:rsidRPr="00861363">
              <w:rPr>
                <w:spacing w:val="22"/>
                <w:w w:val="99"/>
                <w:sz w:val="20"/>
                <w:szCs w:val="20"/>
              </w:rPr>
              <w:t xml:space="preserve"> </w:t>
            </w:r>
            <w:r w:rsidRPr="00861363">
              <w:rPr>
                <w:sz w:val="20"/>
                <w:szCs w:val="20"/>
              </w:rPr>
              <w:t>of</w:t>
            </w:r>
            <w:r w:rsidRPr="00861363">
              <w:rPr>
                <w:spacing w:val="-9"/>
                <w:sz w:val="20"/>
                <w:szCs w:val="20"/>
              </w:rPr>
              <w:t xml:space="preserve"> </w:t>
            </w:r>
            <w:r w:rsidRPr="00861363">
              <w:rPr>
                <w:sz w:val="20"/>
                <w:szCs w:val="20"/>
              </w:rPr>
              <w:t>health,</w:t>
            </w:r>
          </w:p>
          <w:p w14:paraId="4B1AB6AB" w14:textId="77777777" w:rsidR="00802BE5" w:rsidRPr="00861363" w:rsidRDefault="00802BE5" w:rsidP="004074DB">
            <w:pPr>
              <w:pStyle w:val="TableParagraph"/>
              <w:spacing w:before="7" w:line="360" w:lineRule="auto"/>
              <w:ind w:left="97" w:right="281"/>
              <w:rPr>
                <w:rFonts w:eastAsia="Times New Roman" w:cs="Times New Roman"/>
                <w:sz w:val="20"/>
                <w:szCs w:val="20"/>
              </w:rPr>
            </w:pPr>
            <w:r w:rsidRPr="00861363">
              <w:rPr>
                <w:spacing w:val="-1"/>
                <w:sz w:val="20"/>
                <w:szCs w:val="20"/>
              </w:rPr>
              <w:t>Health</w:t>
            </w:r>
            <w:r w:rsidRPr="00861363">
              <w:rPr>
                <w:spacing w:val="23"/>
                <w:w w:val="99"/>
                <w:sz w:val="20"/>
                <w:szCs w:val="20"/>
              </w:rPr>
              <w:t xml:space="preserve"> </w:t>
            </w:r>
            <w:r w:rsidRPr="00861363">
              <w:rPr>
                <w:spacing w:val="-1"/>
                <w:sz w:val="20"/>
                <w:szCs w:val="20"/>
              </w:rPr>
              <w:t>information</w:t>
            </w:r>
            <w:r w:rsidRPr="00861363">
              <w:rPr>
                <w:spacing w:val="29"/>
                <w:w w:val="99"/>
                <w:sz w:val="20"/>
                <w:szCs w:val="20"/>
              </w:rPr>
              <w:t xml:space="preserve"> </w:t>
            </w:r>
            <w:r w:rsidRPr="00861363">
              <w:rPr>
                <w:sz w:val="20"/>
                <w:szCs w:val="20"/>
              </w:rPr>
              <w:t>officers,</w:t>
            </w:r>
            <w:r w:rsidRPr="00861363">
              <w:rPr>
                <w:w w:val="99"/>
                <w:sz w:val="20"/>
                <w:szCs w:val="20"/>
              </w:rPr>
              <w:t xml:space="preserve"> </w:t>
            </w:r>
            <w:r w:rsidRPr="00861363">
              <w:rPr>
                <w:spacing w:val="-1"/>
                <w:sz w:val="20"/>
                <w:szCs w:val="20"/>
              </w:rPr>
              <w:t>Program</w:t>
            </w:r>
            <w:r w:rsidRPr="00861363">
              <w:rPr>
                <w:spacing w:val="-17"/>
                <w:sz w:val="20"/>
                <w:szCs w:val="20"/>
              </w:rPr>
              <w:t xml:space="preserve"> </w:t>
            </w:r>
            <w:r w:rsidRPr="00861363">
              <w:rPr>
                <w:sz w:val="20"/>
                <w:szCs w:val="20"/>
              </w:rPr>
              <w:t>officer</w:t>
            </w:r>
            <w:r w:rsidRPr="00861363">
              <w:rPr>
                <w:spacing w:val="25"/>
                <w:w w:val="99"/>
                <w:sz w:val="20"/>
                <w:szCs w:val="20"/>
              </w:rPr>
              <w:t xml:space="preserve"> </w:t>
            </w:r>
            <w:r w:rsidRPr="00861363">
              <w:rPr>
                <w:sz w:val="20"/>
                <w:szCs w:val="20"/>
              </w:rPr>
              <w:t>(i.e.</w:t>
            </w:r>
            <w:r w:rsidRPr="00861363">
              <w:rPr>
                <w:spacing w:val="-15"/>
                <w:sz w:val="20"/>
                <w:szCs w:val="20"/>
              </w:rPr>
              <w:t xml:space="preserve"> </w:t>
            </w:r>
            <w:r w:rsidRPr="00861363">
              <w:rPr>
                <w:spacing w:val="-1"/>
                <w:sz w:val="20"/>
                <w:szCs w:val="20"/>
              </w:rPr>
              <w:t>surveillance</w:t>
            </w:r>
            <w:r w:rsidRPr="00861363">
              <w:rPr>
                <w:spacing w:val="29"/>
                <w:w w:val="99"/>
                <w:sz w:val="20"/>
                <w:szCs w:val="20"/>
              </w:rPr>
              <w:t xml:space="preserve"> </w:t>
            </w:r>
            <w:r w:rsidRPr="00861363">
              <w:rPr>
                <w:sz w:val="20"/>
                <w:szCs w:val="20"/>
              </w:rPr>
              <w:t>officer)</w:t>
            </w:r>
          </w:p>
          <w:p w14:paraId="1A66B83F" w14:textId="77777777" w:rsidR="00802BE5" w:rsidRPr="00861363" w:rsidRDefault="00802BE5" w:rsidP="687947B3">
            <w:pPr>
              <w:pStyle w:val="TableParagraph"/>
              <w:spacing w:before="5" w:line="359" w:lineRule="auto"/>
              <w:ind w:left="97" w:right="704"/>
              <w:rPr>
                <w:rFonts w:eastAsia="Times New Roman" w:cs="Times New Roman"/>
                <w:sz w:val="20"/>
                <w:szCs w:val="20"/>
              </w:rPr>
            </w:pPr>
            <w:r w:rsidRPr="00861363">
              <w:rPr>
                <w:spacing w:val="-1"/>
                <w:sz w:val="20"/>
                <w:szCs w:val="20"/>
              </w:rPr>
              <w:t>Health</w:t>
            </w:r>
            <w:r w:rsidRPr="00861363">
              <w:rPr>
                <w:spacing w:val="23"/>
                <w:w w:val="99"/>
                <w:sz w:val="20"/>
                <w:szCs w:val="20"/>
              </w:rPr>
              <w:t xml:space="preserve"> </w:t>
            </w:r>
            <w:r w:rsidRPr="00861363">
              <w:rPr>
                <w:spacing w:val="-1"/>
                <w:sz w:val="20"/>
                <w:szCs w:val="20"/>
              </w:rPr>
              <w:t>information</w:t>
            </w:r>
            <w:r w:rsidRPr="00861363">
              <w:rPr>
                <w:spacing w:val="29"/>
                <w:w w:val="99"/>
                <w:sz w:val="20"/>
                <w:szCs w:val="20"/>
              </w:rPr>
              <w:t xml:space="preserve"> </w:t>
            </w:r>
            <w:r w:rsidRPr="00861363">
              <w:rPr>
                <w:sz w:val="20"/>
                <w:szCs w:val="20"/>
              </w:rPr>
              <w:t>officers</w:t>
            </w:r>
          </w:p>
          <w:p w14:paraId="0C8C4513" w14:textId="0678DE1B" w:rsidR="00802BE5" w:rsidRPr="00861363" w:rsidRDefault="00802BE5" w:rsidP="687947B3">
            <w:pPr>
              <w:pStyle w:val="TableParagraph"/>
              <w:spacing w:before="5" w:line="359" w:lineRule="auto"/>
              <w:ind w:left="97" w:right="704"/>
              <w:rPr>
                <w:sz w:val="20"/>
                <w:szCs w:val="20"/>
              </w:rPr>
            </w:pPr>
          </w:p>
          <w:p w14:paraId="5ADEAE10" w14:textId="47DCB14F" w:rsidR="00802BE5" w:rsidRPr="00861363" w:rsidRDefault="687947B3" w:rsidP="687947B3">
            <w:pPr>
              <w:pStyle w:val="TableParagraph"/>
              <w:spacing w:before="5" w:line="359" w:lineRule="auto"/>
              <w:ind w:left="97" w:right="704"/>
              <w:rPr>
                <w:sz w:val="20"/>
                <w:szCs w:val="20"/>
              </w:rPr>
            </w:pPr>
            <w:r w:rsidRPr="687947B3">
              <w:rPr>
                <w:sz w:val="20"/>
                <w:szCs w:val="20"/>
              </w:rPr>
              <w:t>Directors of DHSS sites</w:t>
            </w:r>
          </w:p>
        </w:tc>
        <w:tc>
          <w:tcPr>
            <w:tcW w:w="2181" w:type="dxa"/>
            <w:tcBorders>
              <w:top w:val="single" w:sz="9" w:space="0" w:color="000000" w:themeColor="text1"/>
              <w:left w:val="single" w:sz="8" w:space="0" w:color="000000" w:themeColor="text1"/>
              <w:bottom w:val="single" w:sz="9" w:space="0" w:color="000000" w:themeColor="text1"/>
              <w:right w:val="single" w:sz="8" w:space="0" w:color="000000" w:themeColor="text1"/>
            </w:tcBorders>
          </w:tcPr>
          <w:p w14:paraId="2BC883E4" w14:textId="77777777" w:rsidR="00802BE5" w:rsidRPr="00861363" w:rsidRDefault="00802BE5" w:rsidP="004074DB">
            <w:pPr>
              <w:pStyle w:val="TableParagraph"/>
              <w:spacing w:before="93" w:line="359" w:lineRule="auto"/>
              <w:ind w:left="97" w:right="622"/>
              <w:rPr>
                <w:rFonts w:eastAsia="Times New Roman" w:cs="Times New Roman"/>
                <w:sz w:val="20"/>
                <w:szCs w:val="20"/>
              </w:rPr>
            </w:pPr>
            <w:r w:rsidRPr="00861363">
              <w:rPr>
                <w:spacing w:val="-1"/>
                <w:sz w:val="20"/>
                <w:szCs w:val="20"/>
              </w:rPr>
              <w:t>Medical</w:t>
            </w:r>
            <w:r w:rsidRPr="00861363">
              <w:rPr>
                <w:spacing w:val="25"/>
                <w:w w:val="99"/>
                <w:sz w:val="20"/>
                <w:szCs w:val="20"/>
              </w:rPr>
              <w:t xml:space="preserve"> </w:t>
            </w:r>
            <w:r w:rsidRPr="00861363">
              <w:rPr>
                <w:spacing w:val="-1"/>
                <w:sz w:val="20"/>
                <w:szCs w:val="20"/>
              </w:rPr>
              <w:t>superintendents,</w:t>
            </w:r>
            <w:r w:rsidRPr="00861363">
              <w:rPr>
                <w:spacing w:val="28"/>
                <w:w w:val="99"/>
                <w:sz w:val="20"/>
                <w:szCs w:val="20"/>
              </w:rPr>
              <w:t xml:space="preserve"> </w:t>
            </w:r>
            <w:r w:rsidRPr="00861363">
              <w:rPr>
                <w:spacing w:val="-1"/>
                <w:sz w:val="20"/>
                <w:szCs w:val="20"/>
              </w:rPr>
              <w:t>Physicians,</w:t>
            </w:r>
          </w:p>
          <w:p w14:paraId="467880C5" w14:textId="77777777" w:rsidR="00802BE5" w:rsidRPr="00861363" w:rsidRDefault="00802BE5" w:rsidP="004074DB">
            <w:pPr>
              <w:pStyle w:val="TableParagraph"/>
              <w:spacing w:before="4" w:line="359" w:lineRule="auto"/>
              <w:ind w:left="97" w:right="367"/>
              <w:rPr>
                <w:rFonts w:eastAsia="Times New Roman" w:cs="Times New Roman"/>
                <w:sz w:val="20"/>
                <w:szCs w:val="20"/>
              </w:rPr>
            </w:pPr>
            <w:r w:rsidRPr="00861363">
              <w:rPr>
                <w:spacing w:val="-1"/>
                <w:sz w:val="20"/>
                <w:szCs w:val="20"/>
              </w:rPr>
              <w:t>Health</w:t>
            </w:r>
            <w:r w:rsidRPr="00861363">
              <w:rPr>
                <w:spacing w:val="-17"/>
                <w:sz w:val="20"/>
                <w:szCs w:val="20"/>
              </w:rPr>
              <w:t xml:space="preserve"> </w:t>
            </w:r>
            <w:r w:rsidRPr="00861363">
              <w:rPr>
                <w:spacing w:val="-1"/>
                <w:sz w:val="20"/>
                <w:szCs w:val="20"/>
              </w:rPr>
              <w:t>Information</w:t>
            </w:r>
            <w:r w:rsidRPr="00861363">
              <w:rPr>
                <w:spacing w:val="27"/>
                <w:w w:val="99"/>
                <w:sz w:val="20"/>
                <w:szCs w:val="20"/>
              </w:rPr>
              <w:t xml:space="preserve"> </w:t>
            </w:r>
            <w:r w:rsidRPr="00861363">
              <w:rPr>
                <w:sz w:val="20"/>
                <w:szCs w:val="20"/>
              </w:rPr>
              <w:t>officers</w:t>
            </w:r>
          </w:p>
          <w:p w14:paraId="17F0CF39" w14:textId="77777777" w:rsidR="00802BE5" w:rsidRPr="00861363" w:rsidRDefault="00802BE5" w:rsidP="004074DB">
            <w:pPr>
              <w:pStyle w:val="TableParagraph"/>
              <w:rPr>
                <w:rFonts w:eastAsia="Times New Roman" w:cs="Times New Roman"/>
                <w:sz w:val="20"/>
                <w:szCs w:val="20"/>
              </w:rPr>
            </w:pPr>
          </w:p>
          <w:p w14:paraId="0C4A8664" w14:textId="77777777" w:rsidR="00802BE5" w:rsidRPr="00861363" w:rsidRDefault="00802BE5" w:rsidP="004074DB">
            <w:pPr>
              <w:pStyle w:val="TableParagraph"/>
              <w:spacing w:before="129" w:line="360" w:lineRule="auto"/>
              <w:ind w:left="97" w:right="575"/>
              <w:rPr>
                <w:rFonts w:eastAsia="Times New Roman" w:cs="Times New Roman"/>
                <w:sz w:val="20"/>
                <w:szCs w:val="20"/>
              </w:rPr>
            </w:pPr>
            <w:r w:rsidRPr="00861363">
              <w:rPr>
                <w:spacing w:val="-1"/>
                <w:sz w:val="20"/>
                <w:szCs w:val="20"/>
              </w:rPr>
              <w:t>Nurses/nurse</w:t>
            </w:r>
            <w:r w:rsidRPr="00861363">
              <w:rPr>
                <w:spacing w:val="-14"/>
                <w:sz w:val="20"/>
                <w:szCs w:val="20"/>
              </w:rPr>
              <w:t xml:space="preserve"> </w:t>
            </w:r>
            <w:r w:rsidRPr="00861363">
              <w:rPr>
                <w:sz w:val="20"/>
                <w:szCs w:val="20"/>
              </w:rPr>
              <w:t>in</w:t>
            </w:r>
            <w:r w:rsidRPr="00861363">
              <w:rPr>
                <w:spacing w:val="26"/>
                <w:w w:val="99"/>
                <w:sz w:val="20"/>
                <w:szCs w:val="20"/>
              </w:rPr>
              <w:t xml:space="preserve"> </w:t>
            </w:r>
            <w:r w:rsidRPr="00861363">
              <w:rPr>
                <w:sz w:val="20"/>
                <w:szCs w:val="20"/>
              </w:rPr>
              <w:t>charges,</w:t>
            </w:r>
            <w:r w:rsidRPr="00861363">
              <w:rPr>
                <w:w w:val="99"/>
                <w:sz w:val="20"/>
                <w:szCs w:val="20"/>
              </w:rPr>
              <w:t xml:space="preserve"> </w:t>
            </w:r>
            <w:r w:rsidRPr="00861363">
              <w:rPr>
                <w:spacing w:val="-1"/>
                <w:sz w:val="20"/>
                <w:szCs w:val="20"/>
              </w:rPr>
              <w:t>Program</w:t>
            </w:r>
            <w:r w:rsidRPr="00861363">
              <w:rPr>
                <w:spacing w:val="-18"/>
                <w:sz w:val="20"/>
                <w:szCs w:val="20"/>
              </w:rPr>
              <w:t xml:space="preserve"> </w:t>
            </w:r>
            <w:r w:rsidRPr="00861363">
              <w:rPr>
                <w:sz w:val="20"/>
                <w:szCs w:val="20"/>
              </w:rPr>
              <w:t>officers</w:t>
            </w:r>
            <w:r w:rsidRPr="00861363">
              <w:rPr>
                <w:spacing w:val="25"/>
                <w:w w:val="99"/>
                <w:sz w:val="20"/>
                <w:szCs w:val="20"/>
              </w:rPr>
              <w:t xml:space="preserve"> </w:t>
            </w:r>
            <w:r w:rsidRPr="00861363">
              <w:rPr>
                <w:sz w:val="20"/>
                <w:szCs w:val="20"/>
              </w:rPr>
              <w:t>(HIV</w:t>
            </w:r>
            <w:r w:rsidRPr="00861363">
              <w:rPr>
                <w:spacing w:val="-10"/>
                <w:sz w:val="20"/>
                <w:szCs w:val="20"/>
              </w:rPr>
              <w:t xml:space="preserve"> </w:t>
            </w:r>
            <w:r w:rsidRPr="00861363">
              <w:rPr>
                <w:sz w:val="20"/>
                <w:szCs w:val="20"/>
              </w:rPr>
              <w:t>etc.)</w:t>
            </w:r>
          </w:p>
          <w:p w14:paraId="22126526" w14:textId="77777777" w:rsidR="00802BE5" w:rsidRPr="00861363" w:rsidRDefault="00802BE5" w:rsidP="004074DB">
            <w:pPr>
              <w:pStyle w:val="TableParagraph"/>
              <w:spacing w:before="6" w:line="359" w:lineRule="auto"/>
              <w:ind w:left="97" w:right="196"/>
              <w:rPr>
                <w:rFonts w:eastAsia="Times New Roman" w:cs="Times New Roman"/>
                <w:sz w:val="20"/>
                <w:szCs w:val="20"/>
              </w:rPr>
            </w:pPr>
            <w:r w:rsidRPr="00861363">
              <w:rPr>
                <w:spacing w:val="-1"/>
                <w:sz w:val="20"/>
                <w:szCs w:val="20"/>
              </w:rPr>
              <w:t>Mortuary</w:t>
            </w:r>
            <w:r w:rsidRPr="00861363">
              <w:rPr>
                <w:spacing w:val="-17"/>
                <w:sz w:val="20"/>
                <w:szCs w:val="20"/>
              </w:rPr>
              <w:t xml:space="preserve"> </w:t>
            </w:r>
            <w:r w:rsidRPr="00861363">
              <w:rPr>
                <w:sz w:val="20"/>
                <w:szCs w:val="20"/>
              </w:rPr>
              <w:t>attendants</w:t>
            </w:r>
            <w:r w:rsidRPr="00861363">
              <w:rPr>
                <w:spacing w:val="25"/>
                <w:w w:val="99"/>
                <w:sz w:val="20"/>
                <w:szCs w:val="20"/>
              </w:rPr>
              <w:t xml:space="preserve"> </w:t>
            </w:r>
            <w:r w:rsidRPr="00861363">
              <w:rPr>
                <w:spacing w:val="-1"/>
                <w:sz w:val="20"/>
                <w:szCs w:val="20"/>
              </w:rPr>
              <w:t>Mortality</w:t>
            </w:r>
            <w:r w:rsidRPr="00861363">
              <w:rPr>
                <w:spacing w:val="27"/>
                <w:w w:val="99"/>
                <w:sz w:val="20"/>
                <w:szCs w:val="20"/>
              </w:rPr>
              <w:t xml:space="preserve"> </w:t>
            </w:r>
            <w:r w:rsidRPr="00861363">
              <w:rPr>
                <w:spacing w:val="-1"/>
                <w:sz w:val="20"/>
                <w:szCs w:val="20"/>
              </w:rPr>
              <w:t>Surveillance</w:t>
            </w:r>
            <w:r w:rsidRPr="00861363">
              <w:rPr>
                <w:spacing w:val="-32"/>
                <w:sz w:val="20"/>
                <w:szCs w:val="20"/>
              </w:rPr>
              <w:t xml:space="preserve"> </w:t>
            </w:r>
            <w:r w:rsidRPr="00861363">
              <w:rPr>
                <w:spacing w:val="-1"/>
                <w:sz w:val="20"/>
                <w:szCs w:val="20"/>
              </w:rPr>
              <w:t>Officers</w:t>
            </w:r>
          </w:p>
        </w:tc>
      </w:tr>
      <w:tr w:rsidR="00802BE5" w:rsidRPr="00861363" w14:paraId="7164A3C4" w14:textId="77777777" w:rsidTr="687947B3">
        <w:trPr>
          <w:trHeight w:hRule="exact" w:val="2425"/>
        </w:trPr>
        <w:tc>
          <w:tcPr>
            <w:tcW w:w="1782" w:type="dxa"/>
            <w:tcBorders>
              <w:top w:val="single" w:sz="9" w:space="0" w:color="000000" w:themeColor="text1"/>
              <w:left w:val="single" w:sz="8" w:space="0" w:color="000000" w:themeColor="text1"/>
              <w:bottom w:val="single" w:sz="8" w:space="0" w:color="000000" w:themeColor="text1"/>
              <w:right w:val="single" w:sz="8" w:space="0" w:color="000000" w:themeColor="text1"/>
            </w:tcBorders>
          </w:tcPr>
          <w:p w14:paraId="5F27D2E6" w14:textId="77777777" w:rsidR="00802BE5" w:rsidRPr="00861363" w:rsidRDefault="00802BE5" w:rsidP="004074DB">
            <w:pPr>
              <w:pStyle w:val="TableParagraph"/>
              <w:spacing w:before="93" w:line="359" w:lineRule="auto"/>
              <w:ind w:left="99" w:right="390"/>
              <w:rPr>
                <w:rFonts w:eastAsia="Times New Roman" w:cs="Times New Roman"/>
                <w:sz w:val="20"/>
                <w:szCs w:val="20"/>
              </w:rPr>
            </w:pPr>
            <w:r w:rsidRPr="00861363">
              <w:rPr>
                <w:spacing w:val="-1"/>
                <w:sz w:val="20"/>
                <w:szCs w:val="20"/>
              </w:rPr>
              <w:t>Zambia</w:t>
            </w:r>
            <w:r w:rsidRPr="00861363">
              <w:rPr>
                <w:spacing w:val="-16"/>
                <w:sz w:val="20"/>
                <w:szCs w:val="20"/>
              </w:rPr>
              <w:t xml:space="preserve"> </w:t>
            </w:r>
            <w:r w:rsidRPr="00861363">
              <w:rPr>
                <w:sz w:val="20"/>
                <w:szCs w:val="20"/>
              </w:rPr>
              <w:t>National</w:t>
            </w:r>
            <w:r w:rsidRPr="00861363">
              <w:rPr>
                <w:spacing w:val="24"/>
                <w:w w:val="99"/>
                <w:sz w:val="20"/>
                <w:szCs w:val="20"/>
              </w:rPr>
              <w:t xml:space="preserve"> </w:t>
            </w:r>
            <w:r w:rsidRPr="00861363">
              <w:rPr>
                <w:spacing w:val="-1"/>
                <w:sz w:val="20"/>
                <w:szCs w:val="20"/>
              </w:rPr>
              <w:t>Public</w:t>
            </w:r>
            <w:r w:rsidRPr="00861363">
              <w:rPr>
                <w:spacing w:val="-13"/>
                <w:sz w:val="20"/>
                <w:szCs w:val="20"/>
              </w:rPr>
              <w:t xml:space="preserve"> </w:t>
            </w:r>
            <w:r w:rsidRPr="00861363">
              <w:rPr>
                <w:spacing w:val="-1"/>
                <w:sz w:val="20"/>
                <w:szCs w:val="20"/>
              </w:rPr>
              <w:t>Health</w:t>
            </w:r>
            <w:r w:rsidRPr="00861363">
              <w:rPr>
                <w:spacing w:val="25"/>
                <w:w w:val="99"/>
                <w:sz w:val="20"/>
                <w:szCs w:val="20"/>
              </w:rPr>
              <w:t xml:space="preserve"> </w:t>
            </w:r>
            <w:r w:rsidRPr="00861363">
              <w:rPr>
                <w:spacing w:val="-1"/>
                <w:sz w:val="20"/>
                <w:szCs w:val="20"/>
              </w:rPr>
              <w:t>Institute</w:t>
            </w:r>
          </w:p>
        </w:tc>
        <w:tc>
          <w:tcPr>
            <w:tcW w:w="1724" w:type="dxa"/>
            <w:tcBorders>
              <w:top w:val="single" w:sz="9" w:space="0" w:color="000000" w:themeColor="text1"/>
              <w:left w:val="single" w:sz="8" w:space="0" w:color="000000" w:themeColor="text1"/>
              <w:bottom w:val="single" w:sz="8" w:space="0" w:color="000000" w:themeColor="text1"/>
              <w:right w:val="single" w:sz="8" w:space="0" w:color="000000" w:themeColor="text1"/>
            </w:tcBorders>
          </w:tcPr>
          <w:p w14:paraId="15D2B47F" w14:textId="77777777" w:rsidR="00802BE5" w:rsidRPr="00861363" w:rsidRDefault="00802BE5" w:rsidP="004074DB">
            <w:pPr>
              <w:pStyle w:val="TableParagraph"/>
              <w:spacing w:before="93" w:line="360" w:lineRule="auto"/>
              <w:ind w:left="97" w:right="120"/>
              <w:rPr>
                <w:rFonts w:eastAsia="Times New Roman" w:cs="Times New Roman"/>
                <w:sz w:val="20"/>
                <w:szCs w:val="20"/>
              </w:rPr>
            </w:pPr>
            <w:r w:rsidRPr="00861363">
              <w:rPr>
                <w:spacing w:val="-1"/>
                <w:sz w:val="20"/>
                <w:szCs w:val="20"/>
              </w:rPr>
              <w:t>Director</w:t>
            </w:r>
            <w:r w:rsidRPr="00861363">
              <w:rPr>
                <w:spacing w:val="-15"/>
                <w:sz w:val="20"/>
                <w:szCs w:val="20"/>
              </w:rPr>
              <w:t xml:space="preserve"> </w:t>
            </w:r>
            <w:r w:rsidRPr="00861363">
              <w:rPr>
                <w:spacing w:val="-1"/>
                <w:sz w:val="20"/>
                <w:szCs w:val="20"/>
              </w:rPr>
              <w:t>General</w:t>
            </w:r>
            <w:r w:rsidRPr="00861363">
              <w:rPr>
                <w:spacing w:val="28"/>
                <w:w w:val="99"/>
                <w:sz w:val="20"/>
                <w:szCs w:val="20"/>
              </w:rPr>
              <w:t xml:space="preserve"> </w:t>
            </w:r>
            <w:r w:rsidRPr="00861363">
              <w:rPr>
                <w:spacing w:val="-1"/>
                <w:sz w:val="20"/>
                <w:szCs w:val="20"/>
              </w:rPr>
              <w:t>Program</w:t>
            </w:r>
            <w:r w:rsidRPr="00861363">
              <w:rPr>
                <w:spacing w:val="-18"/>
                <w:sz w:val="20"/>
                <w:szCs w:val="20"/>
              </w:rPr>
              <w:t xml:space="preserve"> </w:t>
            </w:r>
            <w:r w:rsidRPr="00861363">
              <w:rPr>
                <w:sz w:val="20"/>
                <w:szCs w:val="20"/>
              </w:rPr>
              <w:t>officers</w:t>
            </w:r>
            <w:r w:rsidRPr="00861363">
              <w:rPr>
                <w:spacing w:val="25"/>
                <w:w w:val="99"/>
                <w:sz w:val="20"/>
                <w:szCs w:val="20"/>
              </w:rPr>
              <w:t xml:space="preserve"> </w:t>
            </w:r>
            <w:r w:rsidRPr="00861363">
              <w:rPr>
                <w:spacing w:val="-1"/>
                <w:sz w:val="20"/>
                <w:szCs w:val="20"/>
              </w:rPr>
              <w:t>(mortality</w:t>
            </w:r>
            <w:r w:rsidRPr="00861363">
              <w:rPr>
                <w:spacing w:val="29"/>
                <w:w w:val="99"/>
                <w:sz w:val="20"/>
                <w:szCs w:val="20"/>
              </w:rPr>
              <w:t xml:space="preserve"> </w:t>
            </w:r>
            <w:r w:rsidRPr="00861363">
              <w:rPr>
                <w:spacing w:val="-1"/>
                <w:sz w:val="20"/>
                <w:szCs w:val="20"/>
              </w:rPr>
              <w:t>surveillance)</w:t>
            </w:r>
            <w:r w:rsidRPr="00861363">
              <w:rPr>
                <w:spacing w:val="21"/>
                <w:w w:val="99"/>
                <w:sz w:val="20"/>
                <w:szCs w:val="20"/>
              </w:rPr>
              <w:t xml:space="preserve"> </w:t>
            </w:r>
            <w:r w:rsidRPr="00861363">
              <w:rPr>
                <w:spacing w:val="-1"/>
                <w:sz w:val="20"/>
                <w:szCs w:val="20"/>
              </w:rPr>
              <w:t>Vaccine</w:t>
            </w:r>
            <w:r w:rsidRPr="00861363">
              <w:rPr>
                <w:spacing w:val="24"/>
                <w:w w:val="99"/>
                <w:sz w:val="20"/>
                <w:szCs w:val="20"/>
              </w:rPr>
              <w:t xml:space="preserve"> </w:t>
            </w:r>
            <w:r w:rsidRPr="00861363">
              <w:rPr>
                <w:sz w:val="20"/>
                <w:szCs w:val="20"/>
              </w:rPr>
              <w:t>preventable</w:t>
            </w:r>
          </w:p>
        </w:tc>
        <w:tc>
          <w:tcPr>
            <w:tcW w:w="1862" w:type="dxa"/>
            <w:tcBorders>
              <w:top w:val="single" w:sz="9" w:space="0" w:color="000000" w:themeColor="text1"/>
              <w:left w:val="single" w:sz="8" w:space="0" w:color="000000" w:themeColor="text1"/>
              <w:bottom w:val="single" w:sz="8" w:space="0" w:color="000000" w:themeColor="text1"/>
              <w:right w:val="single" w:sz="8" w:space="0" w:color="000000" w:themeColor="text1"/>
            </w:tcBorders>
          </w:tcPr>
          <w:p w14:paraId="4F63380A" w14:textId="77777777" w:rsidR="00802BE5" w:rsidRPr="00861363" w:rsidRDefault="00802BE5" w:rsidP="004074DB">
            <w:pPr>
              <w:pStyle w:val="TableParagraph"/>
              <w:spacing w:before="93" w:line="360" w:lineRule="auto"/>
              <w:ind w:left="98" w:right="195"/>
              <w:rPr>
                <w:rFonts w:eastAsia="Times New Roman" w:cs="Times New Roman"/>
                <w:sz w:val="20"/>
                <w:szCs w:val="20"/>
              </w:rPr>
            </w:pPr>
            <w:r w:rsidRPr="00861363">
              <w:rPr>
                <w:spacing w:val="-1"/>
                <w:sz w:val="20"/>
                <w:szCs w:val="20"/>
              </w:rPr>
              <w:t>Provincial</w:t>
            </w:r>
            <w:r w:rsidRPr="00861363">
              <w:rPr>
                <w:spacing w:val="28"/>
                <w:w w:val="99"/>
                <w:sz w:val="20"/>
                <w:szCs w:val="20"/>
              </w:rPr>
              <w:t xml:space="preserve"> </w:t>
            </w:r>
            <w:r w:rsidRPr="00861363">
              <w:rPr>
                <w:spacing w:val="-1"/>
                <w:sz w:val="20"/>
                <w:szCs w:val="20"/>
              </w:rPr>
              <w:t>Surveillance</w:t>
            </w:r>
            <w:r w:rsidRPr="00861363">
              <w:rPr>
                <w:spacing w:val="22"/>
                <w:w w:val="99"/>
                <w:sz w:val="20"/>
                <w:szCs w:val="20"/>
              </w:rPr>
              <w:t xml:space="preserve"> </w:t>
            </w:r>
            <w:r w:rsidRPr="00861363">
              <w:rPr>
                <w:sz w:val="20"/>
                <w:szCs w:val="20"/>
              </w:rPr>
              <w:t>officers</w:t>
            </w:r>
            <w:r w:rsidRPr="00861363">
              <w:rPr>
                <w:w w:val="99"/>
                <w:sz w:val="20"/>
                <w:szCs w:val="20"/>
              </w:rPr>
              <w:t xml:space="preserve"> </w:t>
            </w:r>
            <w:r w:rsidRPr="00861363">
              <w:rPr>
                <w:spacing w:val="-1"/>
                <w:sz w:val="20"/>
                <w:szCs w:val="20"/>
              </w:rPr>
              <w:t>Provincial</w:t>
            </w:r>
            <w:r w:rsidRPr="00861363">
              <w:rPr>
                <w:spacing w:val="-15"/>
                <w:sz w:val="20"/>
                <w:szCs w:val="20"/>
              </w:rPr>
              <w:t xml:space="preserve"> </w:t>
            </w:r>
            <w:r w:rsidRPr="00861363">
              <w:rPr>
                <w:spacing w:val="-1"/>
                <w:sz w:val="20"/>
                <w:szCs w:val="20"/>
              </w:rPr>
              <w:t>Health</w:t>
            </w:r>
            <w:r w:rsidRPr="00861363">
              <w:rPr>
                <w:spacing w:val="28"/>
                <w:w w:val="99"/>
                <w:sz w:val="20"/>
                <w:szCs w:val="20"/>
              </w:rPr>
              <w:t xml:space="preserve"> </w:t>
            </w:r>
            <w:r w:rsidRPr="00861363">
              <w:rPr>
                <w:spacing w:val="-1"/>
                <w:sz w:val="20"/>
                <w:szCs w:val="20"/>
              </w:rPr>
              <w:t>Information</w:t>
            </w:r>
            <w:r w:rsidRPr="00861363">
              <w:rPr>
                <w:spacing w:val="29"/>
                <w:w w:val="99"/>
                <w:sz w:val="20"/>
                <w:szCs w:val="20"/>
              </w:rPr>
              <w:t xml:space="preserve"> </w:t>
            </w:r>
            <w:r w:rsidRPr="00861363">
              <w:rPr>
                <w:sz w:val="20"/>
                <w:szCs w:val="20"/>
              </w:rPr>
              <w:t>officer</w:t>
            </w:r>
          </w:p>
        </w:tc>
        <w:tc>
          <w:tcPr>
            <w:tcW w:w="1861" w:type="dxa"/>
            <w:tcBorders>
              <w:top w:val="single" w:sz="9" w:space="0" w:color="000000" w:themeColor="text1"/>
              <w:left w:val="single" w:sz="8" w:space="0" w:color="000000" w:themeColor="text1"/>
              <w:bottom w:val="single" w:sz="8" w:space="0" w:color="000000" w:themeColor="text1"/>
              <w:right w:val="single" w:sz="8" w:space="0" w:color="000000" w:themeColor="text1"/>
            </w:tcBorders>
          </w:tcPr>
          <w:p w14:paraId="2C69B18C" w14:textId="77777777" w:rsidR="00802BE5" w:rsidRPr="00861363" w:rsidRDefault="00802BE5" w:rsidP="004074DB">
            <w:pPr>
              <w:pStyle w:val="TableParagraph"/>
              <w:spacing w:before="93" w:line="359" w:lineRule="auto"/>
              <w:ind w:left="97" w:right="641"/>
              <w:rPr>
                <w:rFonts w:eastAsia="Times New Roman" w:cs="Times New Roman"/>
                <w:sz w:val="20"/>
                <w:szCs w:val="20"/>
              </w:rPr>
            </w:pPr>
            <w:r w:rsidRPr="00861363">
              <w:rPr>
                <w:spacing w:val="-1"/>
                <w:sz w:val="20"/>
                <w:szCs w:val="20"/>
              </w:rPr>
              <w:t>District</w:t>
            </w:r>
            <w:r w:rsidRPr="00861363">
              <w:rPr>
                <w:spacing w:val="20"/>
                <w:w w:val="99"/>
                <w:sz w:val="20"/>
                <w:szCs w:val="20"/>
              </w:rPr>
              <w:t xml:space="preserve"> </w:t>
            </w:r>
            <w:r w:rsidRPr="00861363">
              <w:rPr>
                <w:spacing w:val="-1"/>
                <w:sz w:val="20"/>
                <w:szCs w:val="20"/>
              </w:rPr>
              <w:t>Surveillance</w:t>
            </w:r>
            <w:r w:rsidRPr="00861363">
              <w:rPr>
                <w:spacing w:val="22"/>
                <w:w w:val="99"/>
                <w:sz w:val="20"/>
                <w:szCs w:val="20"/>
              </w:rPr>
              <w:t xml:space="preserve"> </w:t>
            </w:r>
            <w:r w:rsidRPr="00861363">
              <w:rPr>
                <w:spacing w:val="-1"/>
                <w:sz w:val="20"/>
                <w:szCs w:val="20"/>
              </w:rPr>
              <w:t>Officer</w:t>
            </w:r>
          </w:p>
        </w:tc>
        <w:tc>
          <w:tcPr>
            <w:tcW w:w="2181" w:type="dxa"/>
            <w:tcBorders>
              <w:top w:val="single" w:sz="9" w:space="0" w:color="000000" w:themeColor="text1"/>
              <w:left w:val="single" w:sz="8" w:space="0" w:color="000000" w:themeColor="text1"/>
              <w:bottom w:val="single" w:sz="8" w:space="0" w:color="000000" w:themeColor="text1"/>
              <w:right w:val="single" w:sz="8" w:space="0" w:color="000000" w:themeColor="text1"/>
            </w:tcBorders>
          </w:tcPr>
          <w:p w14:paraId="6DCD207F" w14:textId="77777777" w:rsidR="00802BE5" w:rsidRPr="00861363" w:rsidRDefault="00802BE5" w:rsidP="004074DB">
            <w:pPr>
              <w:pStyle w:val="TableParagraph"/>
              <w:spacing w:before="93" w:line="359" w:lineRule="auto"/>
              <w:ind w:left="97" w:right="367"/>
              <w:rPr>
                <w:rFonts w:eastAsia="Times New Roman" w:cs="Times New Roman"/>
                <w:sz w:val="20"/>
                <w:szCs w:val="20"/>
              </w:rPr>
            </w:pPr>
            <w:r w:rsidRPr="00861363">
              <w:rPr>
                <w:spacing w:val="-1"/>
                <w:sz w:val="20"/>
                <w:szCs w:val="20"/>
              </w:rPr>
              <w:t>Health</w:t>
            </w:r>
            <w:r w:rsidRPr="00861363">
              <w:rPr>
                <w:spacing w:val="-17"/>
                <w:sz w:val="20"/>
                <w:szCs w:val="20"/>
              </w:rPr>
              <w:t xml:space="preserve"> </w:t>
            </w:r>
            <w:r w:rsidRPr="00861363">
              <w:rPr>
                <w:spacing w:val="-1"/>
                <w:sz w:val="20"/>
                <w:szCs w:val="20"/>
              </w:rPr>
              <w:t>Information</w:t>
            </w:r>
            <w:r w:rsidRPr="00861363">
              <w:rPr>
                <w:spacing w:val="27"/>
                <w:w w:val="99"/>
                <w:sz w:val="20"/>
                <w:szCs w:val="20"/>
              </w:rPr>
              <w:t xml:space="preserve"> </w:t>
            </w:r>
            <w:r w:rsidRPr="00861363">
              <w:rPr>
                <w:sz w:val="20"/>
                <w:szCs w:val="20"/>
              </w:rPr>
              <w:t>officer</w:t>
            </w:r>
          </w:p>
        </w:tc>
      </w:tr>
    </w:tbl>
    <w:p w14:paraId="69303054" w14:textId="77777777" w:rsidR="00802BE5" w:rsidRDefault="00802BE5" w:rsidP="0084665E"/>
    <w:p w14:paraId="44B39052" w14:textId="77777777" w:rsidR="00F95D73" w:rsidRDefault="00F95D73" w:rsidP="0084665E"/>
    <w:sectPr w:rsidR="00F95D7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B406" w14:textId="77777777" w:rsidR="007F6C6D" w:rsidRDefault="007F6C6D" w:rsidP="00D25E2C">
      <w:pPr>
        <w:spacing w:after="0" w:line="240" w:lineRule="auto"/>
      </w:pPr>
      <w:r>
        <w:separator/>
      </w:r>
    </w:p>
  </w:endnote>
  <w:endnote w:type="continuationSeparator" w:id="0">
    <w:p w14:paraId="1A1577BE" w14:textId="77777777" w:rsidR="007F6C6D" w:rsidRDefault="007F6C6D" w:rsidP="00D25E2C">
      <w:pPr>
        <w:spacing w:after="0" w:line="240" w:lineRule="auto"/>
      </w:pPr>
      <w:r>
        <w:continuationSeparator/>
      </w:r>
    </w:p>
  </w:endnote>
  <w:endnote w:type="continuationNotice" w:id="1">
    <w:p w14:paraId="341896BD" w14:textId="77777777" w:rsidR="007F6C6D" w:rsidRDefault="007F6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787660"/>
      <w:docPartObj>
        <w:docPartGallery w:val="Page Numbers (Bottom of Page)"/>
        <w:docPartUnique/>
      </w:docPartObj>
    </w:sdtPr>
    <w:sdtEndPr>
      <w:rPr>
        <w:noProof/>
      </w:rPr>
    </w:sdtEndPr>
    <w:sdtContent>
      <w:p w14:paraId="7EA4F128" w14:textId="77777777" w:rsidR="006E02F0" w:rsidRDefault="00C338BB" w:rsidP="006E02F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B009DCE" w14:textId="0A868BEF" w:rsidR="005F7AC0" w:rsidRPr="006E02F0" w:rsidRDefault="00755831" w:rsidP="006E02F0">
        <w:pPr>
          <w:pStyle w:val="Footer"/>
          <w:rPr>
            <w:noProof/>
          </w:rPr>
        </w:pPr>
        <w:r w:rsidRPr="004749AA">
          <w:rPr>
            <w:rFonts w:ascii="Aptos" w:hAnsi="Aptos"/>
            <w:i/>
            <w:iCs/>
            <w:color w:val="FF0000"/>
            <w:sz w:val="20"/>
            <w:szCs w:val="20"/>
          </w:rPr>
          <w:t>Version 1</w:t>
        </w:r>
        <w:r w:rsidR="00735878">
          <w:rPr>
            <w:rFonts w:ascii="Aptos" w:hAnsi="Aptos"/>
            <w:i/>
            <w:iCs/>
            <w:color w:val="FF0000"/>
            <w:sz w:val="20"/>
            <w:szCs w:val="20"/>
          </w:rPr>
          <w:t xml:space="preserve"> -</w:t>
        </w:r>
        <w:r w:rsidRPr="004749AA">
          <w:rPr>
            <w:rFonts w:ascii="Aptos" w:hAnsi="Aptos"/>
            <w:i/>
            <w:iCs/>
            <w:color w:val="FF0000"/>
            <w:sz w:val="20"/>
            <w:szCs w:val="20"/>
          </w:rPr>
          <w:t xml:space="preserve"> </w:t>
        </w:r>
        <w:r w:rsidR="00D11AFD">
          <w:rPr>
            <w:rFonts w:ascii="Aptos" w:hAnsi="Aptos"/>
            <w:i/>
            <w:iCs/>
            <w:color w:val="FF0000"/>
            <w:sz w:val="20"/>
            <w:szCs w:val="20"/>
          </w:rPr>
          <w:t>07</w:t>
        </w:r>
        <w:r w:rsidRPr="004749AA">
          <w:rPr>
            <w:rFonts w:ascii="Aptos" w:hAnsi="Aptos"/>
            <w:i/>
            <w:iCs/>
            <w:color w:val="FF0000"/>
            <w:sz w:val="20"/>
            <w:szCs w:val="20"/>
          </w:rPr>
          <w:t xml:space="preserve"> </w:t>
        </w:r>
        <w:r w:rsidR="00D11AFD">
          <w:rPr>
            <w:rFonts w:ascii="Aptos" w:hAnsi="Aptos"/>
            <w:i/>
            <w:iCs/>
            <w:color w:val="FF0000"/>
            <w:sz w:val="20"/>
            <w:szCs w:val="20"/>
          </w:rPr>
          <w:t>May</w:t>
        </w:r>
        <w:r w:rsidRPr="004749AA">
          <w:rPr>
            <w:rFonts w:ascii="Aptos" w:hAnsi="Aptos"/>
            <w:i/>
            <w:iCs/>
            <w:color w:val="FF0000"/>
            <w:sz w:val="20"/>
            <w:szCs w:val="20"/>
          </w:rPr>
          <w:t xml:space="preserve"> 2025</w:t>
        </w:r>
        <w:r w:rsidR="006E02F0">
          <w:rPr>
            <w:rFonts w:ascii="Aptos" w:hAnsi="Aptos"/>
            <w:i/>
            <w:iCs/>
            <w:color w:val="FF0000"/>
            <w:sz w:val="20"/>
            <w:szCs w:val="20"/>
          </w:rPr>
          <w:tab/>
        </w:r>
        <w:r w:rsidR="006E02F0">
          <w:rPr>
            <w:rFonts w:ascii="Aptos" w:hAnsi="Aptos"/>
            <w:i/>
            <w:iCs/>
            <w:color w:val="FF0000"/>
            <w:sz w:val="20"/>
            <w:szCs w:val="20"/>
          </w:rPr>
          <w:tab/>
          <w:t>s2</w:t>
        </w:r>
        <w:r w:rsidR="006E02F0" w:rsidRPr="004749AA">
          <w:rPr>
            <w:rFonts w:ascii="Aptos" w:hAnsi="Aptos"/>
            <w:i/>
            <w:iCs/>
            <w:color w:val="FF0000"/>
            <w:sz w:val="20"/>
            <w:szCs w:val="20"/>
          </w:rPr>
          <w:t>_</w:t>
        </w:r>
        <w:r w:rsidR="006E02F0">
          <w:rPr>
            <w:rFonts w:ascii="Aptos" w:hAnsi="Aptos"/>
            <w:i/>
            <w:iCs/>
            <w:color w:val="FF0000"/>
            <w:sz w:val="20"/>
            <w:szCs w:val="20"/>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C747" w14:textId="77777777" w:rsidR="007F6C6D" w:rsidRDefault="007F6C6D" w:rsidP="00D25E2C">
      <w:pPr>
        <w:spacing w:after="0" w:line="240" w:lineRule="auto"/>
      </w:pPr>
      <w:r>
        <w:separator/>
      </w:r>
    </w:p>
  </w:footnote>
  <w:footnote w:type="continuationSeparator" w:id="0">
    <w:p w14:paraId="583F3BDE" w14:textId="77777777" w:rsidR="007F6C6D" w:rsidRDefault="007F6C6D" w:rsidP="00D25E2C">
      <w:pPr>
        <w:spacing w:after="0" w:line="240" w:lineRule="auto"/>
      </w:pPr>
      <w:r>
        <w:continuationSeparator/>
      </w:r>
    </w:p>
  </w:footnote>
  <w:footnote w:type="continuationNotice" w:id="1">
    <w:p w14:paraId="5140BDCE" w14:textId="77777777" w:rsidR="007F6C6D" w:rsidRDefault="007F6C6D">
      <w:pPr>
        <w:spacing w:after="0" w:line="240" w:lineRule="auto"/>
      </w:pPr>
    </w:p>
  </w:footnote>
  <w:footnote w:id="2">
    <w:p w14:paraId="723CDC32" w14:textId="2006D391" w:rsidR="00524EA7" w:rsidRDefault="00524EA7">
      <w:pPr>
        <w:pStyle w:val="FootnoteText"/>
      </w:pPr>
      <w:r>
        <w:rPr>
          <w:rStyle w:val="FootnoteReference"/>
        </w:rPr>
        <w:footnoteRef/>
      </w:r>
      <w:r>
        <w:t xml:space="preserve"> In Africa, Africa CDC has developed a mortality surveillance framework and is working with countries to operationalized its implementation. </w:t>
      </w:r>
    </w:p>
  </w:footnote>
  <w:footnote w:id="3">
    <w:p w14:paraId="43BF5E15" w14:textId="5DC04DCE" w:rsidR="15A10536" w:rsidRDefault="15A10536" w:rsidP="15A10536">
      <w:pPr>
        <w:pStyle w:val="FootnoteText"/>
      </w:pPr>
      <w:r w:rsidRPr="15A10536">
        <w:rPr>
          <w:rStyle w:val="FootnoteReference"/>
        </w:rPr>
        <w:footnoteRef/>
      </w:r>
      <w:r>
        <w:t xml:space="preserve"> https://www.who.int/teams/digital-health-and-innovation/smart-guidelines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79A7" w14:textId="187004FB" w:rsidR="00E555FC" w:rsidRPr="00C338BB" w:rsidRDefault="00E555FC" w:rsidP="00C338BB">
    <w:pPr>
      <w:pStyle w:val="Header"/>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D88"/>
    <w:multiLevelType w:val="hybridMultilevel"/>
    <w:tmpl w:val="1BEE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0EEC4"/>
    <w:multiLevelType w:val="hybridMultilevel"/>
    <w:tmpl w:val="2110EB90"/>
    <w:lvl w:ilvl="0" w:tplc="715AF4BC">
      <w:start w:val="1"/>
      <w:numFmt w:val="bullet"/>
      <w:lvlText w:val=""/>
      <w:lvlJc w:val="left"/>
      <w:pPr>
        <w:ind w:left="720" w:hanging="360"/>
      </w:pPr>
      <w:rPr>
        <w:rFonts w:ascii="Symbol" w:hAnsi="Symbol" w:hint="default"/>
      </w:rPr>
    </w:lvl>
    <w:lvl w:ilvl="1" w:tplc="5974324C">
      <w:start w:val="1"/>
      <w:numFmt w:val="bullet"/>
      <w:lvlText w:val="o"/>
      <w:lvlJc w:val="left"/>
      <w:pPr>
        <w:ind w:left="1440" w:hanging="360"/>
      </w:pPr>
      <w:rPr>
        <w:rFonts w:ascii="Courier New" w:hAnsi="Courier New" w:hint="default"/>
      </w:rPr>
    </w:lvl>
    <w:lvl w:ilvl="2" w:tplc="1A4E85DE">
      <w:start w:val="1"/>
      <w:numFmt w:val="bullet"/>
      <w:lvlText w:val=""/>
      <w:lvlJc w:val="left"/>
      <w:pPr>
        <w:ind w:left="2160" w:hanging="360"/>
      </w:pPr>
      <w:rPr>
        <w:rFonts w:ascii="Wingdings" w:hAnsi="Wingdings" w:hint="default"/>
      </w:rPr>
    </w:lvl>
    <w:lvl w:ilvl="3" w:tplc="2E3C0F14">
      <w:start w:val="1"/>
      <w:numFmt w:val="bullet"/>
      <w:lvlText w:val=""/>
      <w:lvlJc w:val="left"/>
      <w:pPr>
        <w:ind w:left="2880" w:hanging="360"/>
      </w:pPr>
      <w:rPr>
        <w:rFonts w:ascii="Symbol" w:hAnsi="Symbol" w:hint="default"/>
      </w:rPr>
    </w:lvl>
    <w:lvl w:ilvl="4" w:tplc="BBE282B4">
      <w:start w:val="1"/>
      <w:numFmt w:val="bullet"/>
      <w:lvlText w:val="o"/>
      <w:lvlJc w:val="left"/>
      <w:pPr>
        <w:ind w:left="3600" w:hanging="360"/>
      </w:pPr>
      <w:rPr>
        <w:rFonts w:ascii="Courier New" w:hAnsi="Courier New" w:hint="default"/>
      </w:rPr>
    </w:lvl>
    <w:lvl w:ilvl="5" w:tplc="CFC67A2C">
      <w:start w:val="1"/>
      <w:numFmt w:val="bullet"/>
      <w:lvlText w:val=""/>
      <w:lvlJc w:val="left"/>
      <w:pPr>
        <w:ind w:left="4320" w:hanging="360"/>
      </w:pPr>
      <w:rPr>
        <w:rFonts w:ascii="Wingdings" w:hAnsi="Wingdings" w:hint="default"/>
      </w:rPr>
    </w:lvl>
    <w:lvl w:ilvl="6" w:tplc="450EB06A">
      <w:start w:val="1"/>
      <w:numFmt w:val="bullet"/>
      <w:lvlText w:val=""/>
      <w:lvlJc w:val="left"/>
      <w:pPr>
        <w:ind w:left="5040" w:hanging="360"/>
      </w:pPr>
      <w:rPr>
        <w:rFonts w:ascii="Symbol" w:hAnsi="Symbol" w:hint="default"/>
      </w:rPr>
    </w:lvl>
    <w:lvl w:ilvl="7" w:tplc="571C1E34">
      <w:start w:val="1"/>
      <w:numFmt w:val="bullet"/>
      <w:lvlText w:val="o"/>
      <w:lvlJc w:val="left"/>
      <w:pPr>
        <w:ind w:left="5760" w:hanging="360"/>
      </w:pPr>
      <w:rPr>
        <w:rFonts w:ascii="Courier New" w:hAnsi="Courier New" w:hint="default"/>
      </w:rPr>
    </w:lvl>
    <w:lvl w:ilvl="8" w:tplc="13922C7C">
      <w:start w:val="1"/>
      <w:numFmt w:val="bullet"/>
      <w:lvlText w:val=""/>
      <w:lvlJc w:val="left"/>
      <w:pPr>
        <w:ind w:left="6480" w:hanging="360"/>
      </w:pPr>
      <w:rPr>
        <w:rFonts w:ascii="Wingdings" w:hAnsi="Wingdings" w:hint="default"/>
      </w:rPr>
    </w:lvl>
  </w:abstractNum>
  <w:abstractNum w:abstractNumId="2" w15:restartNumberingAfterBreak="0">
    <w:nsid w:val="36C20055"/>
    <w:multiLevelType w:val="hybridMultilevel"/>
    <w:tmpl w:val="F03606B2"/>
    <w:lvl w:ilvl="0" w:tplc="249015DE">
      <w:start w:val="1"/>
      <w:numFmt w:val="decimal"/>
      <w:lvlText w:val="%1."/>
      <w:lvlJc w:val="left"/>
      <w:pPr>
        <w:ind w:left="1440" w:hanging="360"/>
      </w:pPr>
    </w:lvl>
    <w:lvl w:ilvl="1" w:tplc="2A94BC12">
      <w:start w:val="1"/>
      <w:numFmt w:val="decimal"/>
      <w:lvlText w:val="%2."/>
      <w:lvlJc w:val="left"/>
      <w:pPr>
        <w:ind w:left="1440" w:hanging="360"/>
      </w:pPr>
    </w:lvl>
    <w:lvl w:ilvl="2" w:tplc="A1E6644A">
      <w:start w:val="1"/>
      <w:numFmt w:val="decimal"/>
      <w:lvlText w:val="%3."/>
      <w:lvlJc w:val="left"/>
      <w:pPr>
        <w:ind w:left="1440" w:hanging="360"/>
      </w:pPr>
    </w:lvl>
    <w:lvl w:ilvl="3" w:tplc="028E547E">
      <w:start w:val="1"/>
      <w:numFmt w:val="decimal"/>
      <w:lvlText w:val="%4."/>
      <w:lvlJc w:val="left"/>
      <w:pPr>
        <w:ind w:left="1440" w:hanging="360"/>
      </w:pPr>
    </w:lvl>
    <w:lvl w:ilvl="4" w:tplc="D6200748">
      <w:start w:val="1"/>
      <w:numFmt w:val="decimal"/>
      <w:lvlText w:val="%5."/>
      <w:lvlJc w:val="left"/>
      <w:pPr>
        <w:ind w:left="1440" w:hanging="360"/>
      </w:pPr>
    </w:lvl>
    <w:lvl w:ilvl="5" w:tplc="B3B0D690">
      <w:start w:val="1"/>
      <w:numFmt w:val="decimal"/>
      <w:lvlText w:val="%6."/>
      <w:lvlJc w:val="left"/>
      <w:pPr>
        <w:ind w:left="1440" w:hanging="360"/>
      </w:pPr>
    </w:lvl>
    <w:lvl w:ilvl="6" w:tplc="D86C5E8E">
      <w:start w:val="1"/>
      <w:numFmt w:val="decimal"/>
      <w:lvlText w:val="%7."/>
      <w:lvlJc w:val="left"/>
      <w:pPr>
        <w:ind w:left="1440" w:hanging="360"/>
      </w:pPr>
    </w:lvl>
    <w:lvl w:ilvl="7" w:tplc="06844CD8">
      <w:start w:val="1"/>
      <w:numFmt w:val="decimal"/>
      <w:lvlText w:val="%8."/>
      <w:lvlJc w:val="left"/>
      <w:pPr>
        <w:ind w:left="1440" w:hanging="360"/>
      </w:pPr>
    </w:lvl>
    <w:lvl w:ilvl="8" w:tplc="5992AA84">
      <w:start w:val="1"/>
      <w:numFmt w:val="decimal"/>
      <w:lvlText w:val="%9."/>
      <w:lvlJc w:val="left"/>
      <w:pPr>
        <w:ind w:left="1440" w:hanging="360"/>
      </w:pPr>
    </w:lvl>
  </w:abstractNum>
  <w:abstractNum w:abstractNumId="3" w15:restartNumberingAfterBreak="0">
    <w:nsid w:val="46D93E21"/>
    <w:multiLevelType w:val="hybridMultilevel"/>
    <w:tmpl w:val="7EAC3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335114"/>
    <w:multiLevelType w:val="hybridMultilevel"/>
    <w:tmpl w:val="25F46E56"/>
    <w:lvl w:ilvl="0" w:tplc="66E84C7C">
      <w:start w:val="1"/>
      <w:numFmt w:val="bullet"/>
      <w:lvlText w:val=""/>
      <w:lvlJc w:val="left"/>
      <w:pPr>
        <w:ind w:left="720" w:hanging="360"/>
      </w:pPr>
      <w:rPr>
        <w:rFonts w:ascii="Symbol" w:hAnsi="Symbol" w:hint="default"/>
      </w:rPr>
    </w:lvl>
    <w:lvl w:ilvl="1" w:tplc="C7104348">
      <w:start w:val="1"/>
      <w:numFmt w:val="bullet"/>
      <w:lvlText w:val="o"/>
      <w:lvlJc w:val="left"/>
      <w:pPr>
        <w:ind w:left="1440" w:hanging="360"/>
      </w:pPr>
      <w:rPr>
        <w:rFonts w:ascii="Courier New" w:hAnsi="Courier New" w:hint="default"/>
      </w:rPr>
    </w:lvl>
    <w:lvl w:ilvl="2" w:tplc="734C8A18">
      <w:start w:val="1"/>
      <w:numFmt w:val="bullet"/>
      <w:lvlText w:val=""/>
      <w:lvlJc w:val="left"/>
      <w:pPr>
        <w:ind w:left="2160" w:hanging="360"/>
      </w:pPr>
      <w:rPr>
        <w:rFonts w:ascii="Wingdings" w:hAnsi="Wingdings" w:hint="default"/>
      </w:rPr>
    </w:lvl>
    <w:lvl w:ilvl="3" w:tplc="2744BB4A">
      <w:start w:val="1"/>
      <w:numFmt w:val="bullet"/>
      <w:lvlText w:val=""/>
      <w:lvlJc w:val="left"/>
      <w:pPr>
        <w:ind w:left="2880" w:hanging="360"/>
      </w:pPr>
      <w:rPr>
        <w:rFonts w:ascii="Symbol" w:hAnsi="Symbol" w:hint="default"/>
      </w:rPr>
    </w:lvl>
    <w:lvl w:ilvl="4" w:tplc="B63484E4">
      <w:start w:val="1"/>
      <w:numFmt w:val="bullet"/>
      <w:lvlText w:val="o"/>
      <w:lvlJc w:val="left"/>
      <w:pPr>
        <w:ind w:left="3600" w:hanging="360"/>
      </w:pPr>
      <w:rPr>
        <w:rFonts w:ascii="Courier New" w:hAnsi="Courier New" w:hint="default"/>
      </w:rPr>
    </w:lvl>
    <w:lvl w:ilvl="5" w:tplc="9FB68DBE">
      <w:start w:val="1"/>
      <w:numFmt w:val="bullet"/>
      <w:lvlText w:val=""/>
      <w:lvlJc w:val="left"/>
      <w:pPr>
        <w:ind w:left="4320" w:hanging="360"/>
      </w:pPr>
      <w:rPr>
        <w:rFonts w:ascii="Wingdings" w:hAnsi="Wingdings" w:hint="default"/>
      </w:rPr>
    </w:lvl>
    <w:lvl w:ilvl="6" w:tplc="5AC0FECE">
      <w:start w:val="1"/>
      <w:numFmt w:val="bullet"/>
      <w:lvlText w:val=""/>
      <w:lvlJc w:val="left"/>
      <w:pPr>
        <w:ind w:left="5040" w:hanging="360"/>
      </w:pPr>
      <w:rPr>
        <w:rFonts w:ascii="Symbol" w:hAnsi="Symbol" w:hint="default"/>
      </w:rPr>
    </w:lvl>
    <w:lvl w:ilvl="7" w:tplc="D6B478BE">
      <w:start w:val="1"/>
      <w:numFmt w:val="bullet"/>
      <w:lvlText w:val="o"/>
      <w:lvlJc w:val="left"/>
      <w:pPr>
        <w:ind w:left="5760" w:hanging="360"/>
      </w:pPr>
      <w:rPr>
        <w:rFonts w:ascii="Courier New" w:hAnsi="Courier New" w:hint="default"/>
      </w:rPr>
    </w:lvl>
    <w:lvl w:ilvl="8" w:tplc="780843F0">
      <w:start w:val="1"/>
      <w:numFmt w:val="bullet"/>
      <w:lvlText w:val=""/>
      <w:lvlJc w:val="left"/>
      <w:pPr>
        <w:ind w:left="6480" w:hanging="360"/>
      </w:pPr>
      <w:rPr>
        <w:rFonts w:ascii="Wingdings" w:hAnsi="Wingdings" w:hint="default"/>
      </w:rPr>
    </w:lvl>
  </w:abstractNum>
  <w:abstractNum w:abstractNumId="5" w15:restartNumberingAfterBreak="0">
    <w:nsid w:val="62DE21A4"/>
    <w:multiLevelType w:val="hybridMultilevel"/>
    <w:tmpl w:val="3D88FB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4133575">
    <w:abstractNumId w:val="1"/>
  </w:num>
  <w:num w:numId="2" w16cid:durableId="1165366512">
    <w:abstractNumId w:val="4"/>
  </w:num>
  <w:num w:numId="3" w16cid:durableId="1030297912">
    <w:abstractNumId w:val="3"/>
  </w:num>
  <w:num w:numId="4" w16cid:durableId="1216162238">
    <w:abstractNumId w:val="0"/>
  </w:num>
  <w:num w:numId="5" w16cid:durableId="445664463">
    <w:abstractNumId w:val="2"/>
  </w:num>
  <w:num w:numId="6" w16cid:durableId="648750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zNzczNjEwNbc0NjVW0lEKTi0uzszPAykwrQUAqPaP2CwAAAA="/>
  </w:docVars>
  <w:rsids>
    <w:rsidRoot w:val="000205D2"/>
    <w:rsid w:val="00001FB7"/>
    <w:rsid w:val="0000754B"/>
    <w:rsid w:val="000205D2"/>
    <w:rsid w:val="000272A9"/>
    <w:rsid w:val="00057BF6"/>
    <w:rsid w:val="00065BF7"/>
    <w:rsid w:val="00067630"/>
    <w:rsid w:val="00087B9A"/>
    <w:rsid w:val="00093D34"/>
    <w:rsid w:val="000B6982"/>
    <w:rsid w:val="000C238A"/>
    <w:rsid w:val="00164195"/>
    <w:rsid w:val="00173284"/>
    <w:rsid w:val="0018312D"/>
    <w:rsid w:val="00190478"/>
    <w:rsid w:val="001B2E50"/>
    <w:rsid w:val="001D0396"/>
    <w:rsid w:val="001E6C9B"/>
    <w:rsid w:val="00205055"/>
    <w:rsid w:val="00260617"/>
    <w:rsid w:val="00262545"/>
    <w:rsid w:val="002677C3"/>
    <w:rsid w:val="002D2FC4"/>
    <w:rsid w:val="0033559C"/>
    <w:rsid w:val="00371779"/>
    <w:rsid w:val="00374134"/>
    <w:rsid w:val="00375A64"/>
    <w:rsid w:val="00381B31"/>
    <w:rsid w:val="0039776F"/>
    <w:rsid w:val="003A48F4"/>
    <w:rsid w:val="003C567E"/>
    <w:rsid w:val="003D69D3"/>
    <w:rsid w:val="003E2017"/>
    <w:rsid w:val="003E373A"/>
    <w:rsid w:val="0041427C"/>
    <w:rsid w:val="0042239E"/>
    <w:rsid w:val="00424BB1"/>
    <w:rsid w:val="00484482"/>
    <w:rsid w:val="004A1B68"/>
    <w:rsid w:val="004A4132"/>
    <w:rsid w:val="004A6855"/>
    <w:rsid w:val="004B0ECF"/>
    <w:rsid w:val="004C560B"/>
    <w:rsid w:val="004E02F5"/>
    <w:rsid w:val="0050363C"/>
    <w:rsid w:val="00503B44"/>
    <w:rsid w:val="005070BB"/>
    <w:rsid w:val="00522A04"/>
    <w:rsid w:val="00524EA7"/>
    <w:rsid w:val="00532B1B"/>
    <w:rsid w:val="0053546D"/>
    <w:rsid w:val="0056651A"/>
    <w:rsid w:val="005961CB"/>
    <w:rsid w:val="005A6792"/>
    <w:rsid w:val="005E7FDC"/>
    <w:rsid w:val="005F7AC0"/>
    <w:rsid w:val="006139F2"/>
    <w:rsid w:val="006165F4"/>
    <w:rsid w:val="006203BD"/>
    <w:rsid w:val="00642A89"/>
    <w:rsid w:val="00646017"/>
    <w:rsid w:val="006610BC"/>
    <w:rsid w:val="00673AE6"/>
    <w:rsid w:val="00684EC9"/>
    <w:rsid w:val="006A7BCA"/>
    <w:rsid w:val="006B4625"/>
    <w:rsid w:val="006E02F0"/>
    <w:rsid w:val="006F4312"/>
    <w:rsid w:val="00735878"/>
    <w:rsid w:val="00745C50"/>
    <w:rsid w:val="00750D66"/>
    <w:rsid w:val="00755831"/>
    <w:rsid w:val="007761DC"/>
    <w:rsid w:val="007857B9"/>
    <w:rsid w:val="007A4FC8"/>
    <w:rsid w:val="007B00CC"/>
    <w:rsid w:val="007B6D37"/>
    <w:rsid w:val="007C188B"/>
    <w:rsid w:val="007F6C6D"/>
    <w:rsid w:val="00802BE5"/>
    <w:rsid w:val="00804E8D"/>
    <w:rsid w:val="00824AA9"/>
    <w:rsid w:val="0083060D"/>
    <w:rsid w:val="00831915"/>
    <w:rsid w:val="00831CCE"/>
    <w:rsid w:val="0084665E"/>
    <w:rsid w:val="00861363"/>
    <w:rsid w:val="00867D11"/>
    <w:rsid w:val="00870E98"/>
    <w:rsid w:val="008807DF"/>
    <w:rsid w:val="008948BF"/>
    <w:rsid w:val="008B172D"/>
    <w:rsid w:val="008B67F4"/>
    <w:rsid w:val="008F0B14"/>
    <w:rsid w:val="008F36CC"/>
    <w:rsid w:val="00902779"/>
    <w:rsid w:val="0092611F"/>
    <w:rsid w:val="009270DA"/>
    <w:rsid w:val="00933DD0"/>
    <w:rsid w:val="00955158"/>
    <w:rsid w:val="00963147"/>
    <w:rsid w:val="00964BA9"/>
    <w:rsid w:val="00970D1E"/>
    <w:rsid w:val="009825F6"/>
    <w:rsid w:val="009854A3"/>
    <w:rsid w:val="009A6527"/>
    <w:rsid w:val="009E719D"/>
    <w:rsid w:val="00A06E2E"/>
    <w:rsid w:val="00A11156"/>
    <w:rsid w:val="00A246A1"/>
    <w:rsid w:val="00A2580B"/>
    <w:rsid w:val="00A25833"/>
    <w:rsid w:val="00AA6CE2"/>
    <w:rsid w:val="00AB34A4"/>
    <w:rsid w:val="00AC000F"/>
    <w:rsid w:val="00AD4DFB"/>
    <w:rsid w:val="00B01E03"/>
    <w:rsid w:val="00B02412"/>
    <w:rsid w:val="00B042F6"/>
    <w:rsid w:val="00B32DB0"/>
    <w:rsid w:val="00B33100"/>
    <w:rsid w:val="00B51BA5"/>
    <w:rsid w:val="00B53E24"/>
    <w:rsid w:val="00B64D14"/>
    <w:rsid w:val="00B6559C"/>
    <w:rsid w:val="00B756BD"/>
    <w:rsid w:val="00B96541"/>
    <w:rsid w:val="00B9760C"/>
    <w:rsid w:val="00BC0F23"/>
    <w:rsid w:val="00BD345A"/>
    <w:rsid w:val="00BF051E"/>
    <w:rsid w:val="00C11F4C"/>
    <w:rsid w:val="00C338BB"/>
    <w:rsid w:val="00C45B56"/>
    <w:rsid w:val="00C55098"/>
    <w:rsid w:val="00C77E08"/>
    <w:rsid w:val="00C815D8"/>
    <w:rsid w:val="00C90F2D"/>
    <w:rsid w:val="00CA6D50"/>
    <w:rsid w:val="00CE042D"/>
    <w:rsid w:val="00CE1F32"/>
    <w:rsid w:val="00CE2EAC"/>
    <w:rsid w:val="00D0614B"/>
    <w:rsid w:val="00D11AFD"/>
    <w:rsid w:val="00D16870"/>
    <w:rsid w:val="00D25E2C"/>
    <w:rsid w:val="00D43B9E"/>
    <w:rsid w:val="00D47C28"/>
    <w:rsid w:val="00D51717"/>
    <w:rsid w:val="00D80156"/>
    <w:rsid w:val="00D81310"/>
    <w:rsid w:val="00D94170"/>
    <w:rsid w:val="00D9680E"/>
    <w:rsid w:val="00DA1160"/>
    <w:rsid w:val="00DC0A03"/>
    <w:rsid w:val="00DC0D5A"/>
    <w:rsid w:val="00E16C3B"/>
    <w:rsid w:val="00E36CE6"/>
    <w:rsid w:val="00E555DF"/>
    <w:rsid w:val="00E555FC"/>
    <w:rsid w:val="00E74663"/>
    <w:rsid w:val="00E84611"/>
    <w:rsid w:val="00EB4FCB"/>
    <w:rsid w:val="00EB66A6"/>
    <w:rsid w:val="00ED1283"/>
    <w:rsid w:val="00EE7D99"/>
    <w:rsid w:val="00F13014"/>
    <w:rsid w:val="00F21240"/>
    <w:rsid w:val="00F21DF3"/>
    <w:rsid w:val="00F24F75"/>
    <w:rsid w:val="00F27EF4"/>
    <w:rsid w:val="00F46E91"/>
    <w:rsid w:val="00F57DE5"/>
    <w:rsid w:val="00F85FFA"/>
    <w:rsid w:val="00F95D73"/>
    <w:rsid w:val="00FA5C25"/>
    <w:rsid w:val="00FF2215"/>
    <w:rsid w:val="00FF41BE"/>
    <w:rsid w:val="1109F071"/>
    <w:rsid w:val="1159566E"/>
    <w:rsid w:val="12764D63"/>
    <w:rsid w:val="132C70BE"/>
    <w:rsid w:val="154B110F"/>
    <w:rsid w:val="15A10536"/>
    <w:rsid w:val="1B9926EC"/>
    <w:rsid w:val="1C098260"/>
    <w:rsid w:val="1CFB2D60"/>
    <w:rsid w:val="25F2FBE3"/>
    <w:rsid w:val="26A41988"/>
    <w:rsid w:val="297A06A2"/>
    <w:rsid w:val="2DDC4E19"/>
    <w:rsid w:val="2F615214"/>
    <w:rsid w:val="303A42AA"/>
    <w:rsid w:val="37B30058"/>
    <w:rsid w:val="3884DBC4"/>
    <w:rsid w:val="39E9C094"/>
    <w:rsid w:val="3C594304"/>
    <w:rsid w:val="41171B9D"/>
    <w:rsid w:val="42D5295A"/>
    <w:rsid w:val="44CB7DB7"/>
    <w:rsid w:val="483CFAA1"/>
    <w:rsid w:val="48BE18E0"/>
    <w:rsid w:val="49EFC3F1"/>
    <w:rsid w:val="4A9D9DA6"/>
    <w:rsid w:val="4D52DBD0"/>
    <w:rsid w:val="5D892BD1"/>
    <w:rsid w:val="5E263793"/>
    <w:rsid w:val="64077A87"/>
    <w:rsid w:val="687947B3"/>
    <w:rsid w:val="697FF001"/>
    <w:rsid w:val="6CFCF861"/>
    <w:rsid w:val="72B06645"/>
    <w:rsid w:val="73521157"/>
    <w:rsid w:val="755960CB"/>
    <w:rsid w:val="7C2A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BDB2"/>
  <w15:chartTrackingRefBased/>
  <w15:docId w15:val="{A481CC6D-72AB-4755-978B-9E00298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5D2"/>
    <w:rPr>
      <w:rFonts w:eastAsiaTheme="majorEastAsia" w:cstheme="majorBidi"/>
      <w:color w:val="272727" w:themeColor="text1" w:themeTint="D8"/>
    </w:rPr>
  </w:style>
  <w:style w:type="paragraph" w:styleId="Title">
    <w:name w:val="Title"/>
    <w:basedOn w:val="Normal"/>
    <w:next w:val="Normal"/>
    <w:link w:val="TitleChar"/>
    <w:uiPriority w:val="10"/>
    <w:qFormat/>
    <w:rsid w:val="00020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5D2"/>
    <w:pPr>
      <w:spacing w:before="160"/>
      <w:jc w:val="center"/>
    </w:pPr>
    <w:rPr>
      <w:i/>
      <w:iCs/>
      <w:color w:val="404040" w:themeColor="text1" w:themeTint="BF"/>
    </w:rPr>
  </w:style>
  <w:style w:type="character" w:customStyle="1" w:styleId="QuoteChar">
    <w:name w:val="Quote Char"/>
    <w:basedOn w:val="DefaultParagraphFont"/>
    <w:link w:val="Quote"/>
    <w:uiPriority w:val="29"/>
    <w:rsid w:val="000205D2"/>
    <w:rPr>
      <w:i/>
      <w:iCs/>
      <w:color w:val="404040" w:themeColor="text1" w:themeTint="BF"/>
    </w:rPr>
  </w:style>
  <w:style w:type="paragraph" w:styleId="ListParagraph">
    <w:name w:val="List Paragraph"/>
    <w:basedOn w:val="Normal"/>
    <w:uiPriority w:val="34"/>
    <w:qFormat/>
    <w:rsid w:val="000205D2"/>
    <w:pPr>
      <w:ind w:left="720"/>
      <w:contextualSpacing/>
    </w:pPr>
  </w:style>
  <w:style w:type="character" w:styleId="IntenseEmphasis">
    <w:name w:val="Intense Emphasis"/>
    <w:basedOn w:val="DefaultParagraphFont"/>
    <w:uiPriority w:val="21"/>
    <w:qFormat/>
    <w:rsid w:val="000205D2"/>
    <w:rPr>
      <w:i/>
      <w:iCs/>
      <w:color w:val="0F4761" w:themeColor="accent1" w:themeShade="BF"/>
    </w:rPr>
  </w:style>
  <w:style w:type="paragraph" w:styleId="IntenseQuote">
    <w:name w:val="Intense Quote"/>
    <w:basedOn w:val="Normal"/>
    <w:next w:val="Normal"/>
    <w:link w:val="IntenseQuoteChar"/>
    <w:uiPriority w:val="30"/>
    <w:qFormat/>
    <w:rsid w:val="00020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5D2"/>
    <w:rPr>
      <w:i/>
      <w:iCs/>
      <w:color w:val="0F4761" w:themeColor="accent1" w:themeShade="BF"/>
    </w:rPr>
  </w:style>
  <w:style w:type="character" w:styleId="IntenseReference">
    <w:name w:val="Intense Reference"/>
    <w:basedOn w:val="DefaultParagraphFont"/>
    <w:uiPriority w:val="32"/>
    <w:qFormat/>
    <w:rsid w:val="000205D2"/>
    <w:rPr>
      <w:b/>
      <w:bCs/>
      <w:smallCaps/>
      <w:color w:val="0F4761" w:themeColor="accent1" w:themeShade="BF"/>
      <w:spacing w:val="5"/>
    </w:rPr>
  </w:style>
  <w:style w:type="paragraph" w:styleId="Header">
    <w:name w:val="header"/>
    <w:basedOn w:val="Normal"/>
    <w:link w:val="HeaderChar"/>
    <w:uiPriority w:val="99"/>
    <w:unhideWhenUsed/>
    <w:rsid w:val="00D2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2C"/>
  </w:style>
  <w:style w:type="paragraph" w:styleId="Footer">
    <w:name w:val="footer"/>
    <w:basedOn w:val="Normal"/>
    <w:link w:val="FooterChar"/>
    <w:uiPriority w:val="99"/>
    <w:unhideWhenUsed/>
    <w:rsid w:val="00D2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2C"/>
  </w:style>
  <w:style w:type="table" w:styleId="TableGrid">
    <w:name w:val="Table Grid"/>
    <w:basedOn w:val="TableNormal"/>
    <w:uiPriority w:val="39"/>
    <w:rsid w:val="0053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100"/>
    <w:rPr>
      <w:sz w:val="16"/>
      <w:szCs w:val="16"/>
    </w:rPr>
  </w:style>
  <w:style w:type="paragraph" w:styleId="CommentText">
    <w:name w:val="annotation text"/>
    <w:basedOn w:val="Normal"/>
    <w:link w:val="CommentTextChar"/>
    <w:uiPriority w:val="99"/>
    <w:unhideWhenUsed/>
    <w:rsid w:val="00B33100"/>
    <w:pPr>
      <w:spacing w:line="240" w:lineRule="auto"/>
    </w:pPr>
    <w:rPr>
      <w:sz w:val="20"/>
      <w:szCs w:val="20"/>
    </w:rPr>
  </w:style>
  <w:style w:type="character" w:customStyle="1" w:styleId="CommentTextChar">
    <w:name w:val="Comment Text Char"/>
    <w:basedOn w:val="DefaultParagraphFont"/>
    <w:link w:val="CommentText"/>
    <w:uiPriority w:val="99"/>
    <w:rsid w:val="00B33100"/>
    <w:rPr>
      <w:sz w:val="20"/>
      <w:szCs w:val="20"/>
    </w:rPr>
  </w:style>
  <w:style w:type="paragraph" w:styleId="CommentSubject">
    <w:name w:val="annotation subject"/>
    <w:basedOn w:val="CommentText"/>
    <w:next w:val="CommentText"/>
    <w:link w:val="CommentSubjectChar"/>
    <w:uiPriority w:val="99"/>
    <w:semiHidden/>
    <w:unhideWhenUsed/>
    <w:rsid w:val="00B33100"/>
    <w:rPr>
      <w:b/>
      <w:bCs/>
    </w:rPr>
  </w:style>
  <w:style w:type="character" w:customStyle="1" w:styleId="CommentSubjectChar">
    <w:name w:val="Comment Subject Char"/>
    <w:basedOn w:val="CommentTextChar"/>
    <w:link w:val="CommentSubject"/>
    <w:uiPriority w:val="99"/>
    <w:semiHidden/>
    <w:rsid w:val="00B33100"/>
    <w:rPr>
      <w:b/>
      <w:bCs/>
      <w:sz w:val="20"/>
      <w:szCs w:val="20"/>
    </w:rPr>
  </w:style>
  <w:style w:type="paragraph" w:styleId="Revision">
    <w:name w:val="Revision"/>
    <w:hidden/>
    <w:uiPriority w:val="99"/>
    <w:semiHidden/>
    <w:rsid w:val="00B33100"/>
    <w:pPr>
      <w:spacing w:after="0" w:line="240" w:lineRule="auto"/>
    </w:pPr>
  </w:style>
  <w:style w:type="character" w:customStyle="1" w:styleId="cf01">
    <w:name w:val="cf01"/>
    <w:basedOn w:val="DefaultParagraphFont"/>
    <w:rsid w:val="00970D1E"/>
    <w:rPr>
      <w:rFonts w:ascii="Segoe UI" w:hAnsi="Segoe UI" w:cs="Segoe UI" w:hint="default"/>
      <w:sz w:val="18"/>
      <w:szCs w:val="18"/>
    </w:rPr>
  </w:style>
  <w:style w:type="paragraph" w:styleId="FootnoteText">
    <w:name w:val="footnote text"/>
    <w:basedOn w:val="Normal"/>
    <w:link w:val="FootnoteTextChar"/>
    <w:uiPriority w:val="99"/>
    <w:semiHidden/>
    <w:unhideWhenUsed/>
    <w:rsid w:val="00524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EA7"/>
    <w:rPr>
      <w:sz w:val="20"/>
      <w:szCs w:val="20"/>
    </w:rPr>
  </w:style>
  <w:style w:type="character" w:styleId="FootnoteReference">
    <w:name w:val="footnote reference"/>
    <w:basedOn w:val="DefaultParagraphFont"/>
    <w:uiPriority w:val="99"/>
    <w:semiHidden/>
    <w:unhideWhenUsed/>
    <w:rsid w:val="00524EA7"/>
    <w:rPr>
      <w:vertAlign w:val="superscript"/>
    </w:rPr>
  </w:style>
  <w:style w:type="paragraph" w:customStyle="1" w:styleId="pf0">
    <w:name w:val="pf0"/>
    <w:basedOn w:val="Normal"/>
    <w:rsid w:val="00AD4DFB"/>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D4D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802BE5"/>
    <w:pPr>
      <w:widowControl w:val="0"/>
      <w:spacing w:after="0" w:line="240" w:lineRule="auto"/>
    </w:pPr>
    <w:rPr>
      <w:kern w:val="0"/>
      <w14:ligatures w14:val="none"/>
    </w:rPr>
  </w:style>
  <w:style w:type="character" w:styleId="Hyperlink">
    <w:name w:val="Hyperlink"/>
    <w:basedOn w:val="DefaultParagraphFont"/>
    <w:uiPriority w:val="99"/>
    <w:unhideWhenUsed/>
    <w:rsid w:val="005E7FDC"/>
    <w:rPr>
      <w:color w:val="467886" w:themeColor="hyperlink"/>
      <w:u w:val="single"/>
    </w:rPr>
  </w:style>
  <w:style w:type="character" w:styleId="UnresolvedMention">
    <w:name w:val="Unresolved Mention"/>
    <w:basedOn w:val="DefaultParagraphFont"/>
    <w:uiPriority w:val="99"/>
    <w:semiHidden/>
    <w:unhideWhenUsed/>
    <w:rsid w:val="005E7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urvey.solutions/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etod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151B-EA14-4E7B-939E-C0F6D600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3364</Words>
  <Characters>19180</Characters>
  <Application>Microsoft Office Word</Application>
  <DocSecurity>0</DocSecurity>
  <Lines>159</Lines>
  <Paragraphs>44</Paragraphs>
  <ScaleCrop>false</ScaleCrop>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Agbessi Amouzou</dc:creator>
  <cp:keywords/>
  <dc:description/>
  <cp:lastModifiedBy>Kelsey Zack</cp:lastModifiedBy>
  <cp:revision>50</cp:revision>
  <dcterms:created xsi:type="dcterms:W3CDTF">2025-01-03T16:30:00Z</dcterms:created>
  <dcterms:modified xsi:type="dcterms:W3CDTF">2025-05-13T13:01:00Z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2024-12-04T17:42:27Z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034d271c-6919-4f31-98cd-a53bd7644bd9</vt:lpwstr>
  </property>
  <property fmtid="{D5CDD505-2E9C-101B-9397-08002B2CF9AE}" pid="8" name="MSIP_Label_8af03ff0-41c5-4c41-b55e-fabb8fae94be_ContentBits">
    <vt:lpwstr>0</vt:lpwstr>
  </property>
</Properties>
</file>